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FC" w:rsidRDefault="00D507FC" w:rsidP="007F64F9">
      <w:pPr>
        <w:spacing w:after="0" w:line="240" w:lineRule="auto"/>
        <w:jc w:val="right"/>
        <w:rPr>
          <w:rFonts w:ascii="Times New Roman" w:eastAsia="Times New Roman" w:hAnsi="Times New Roman" w:cs="Times New Roman"/>
          <w:color w:val="000000"/>
          <w:sz w:val="28"/>
          <w:szCs w:val="28"/>
          <w:lang w:val="ru-RU"/>
        </w:rPr>
      </w:pPr>
      <w:r w:rsidRPr="00D507FC">
        <w:rPr>
          <w:rFonts w:ascii="Times New Roman" w:eastAsia="Times New Roman" w:hAnsi="Times New Roman" w:cs="Times New Roman"/>
          <w:noProof/>
          <w:color w:val="000000"/>
          <w:sz w:val="28"/>
          <w:szCs w:val="28"/>
          <w:lang w:val="ru-RU" w:eastAsia="ru-RU"/>
        </w:rPr>
        <w:drawing>
          <wp:inline distT="0" distB="0" distL="0" distR="0">
            <wp:extent cx="6400800" cy="1185489"/>
            <wp:effectExtent l="19050" t="0" r="0" b="0"/>
            <wp:docPr id="4" name="Рисунок 1" descr="Letter head_A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_APIMG"/>
                    <pic:cNvPicPr>
                      <a:picLocks noChangeAspect="1" noChangeArrowheads="1"/>
                    </pic:cNvPicPr>
                  </pic:nvPicPr>
                  <pic:blipFill>
                    <a:blip r:embed="rId5" cstate="print"/>
                    <a:srcRect/>
                    <a:stretch>
                      <a:fillRect/>
                    </a:stretch>
                  </pic:blipFill>
                  <pic:spPr bwMode="auto">
                    <a:xfrm>
                      <a:off x="0" y="0"/>
                      <a:ext cx="6400800" cy="1185489"/>
                    </a:xfrm>
                    <a:prstGeom prst="rect">
                      <a:avLst/>
                    </a:prstGeom>
                    <a:noFill/>
                    <a:ln w="9525">
                      <a:noFill/>
                      <a:miter lim="800000"/>
                      <a:headEnd/>
                      <a:tailEnd/>
                    </a:ln>
                  </pic:spPr>
                </pic:pic>
              </a:graphicData>
            </a:graphic>
          </wp:inline>
        </w:drawing>
      </w:r>
    </w:p>
    <w:p w:rsidR="00556821"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 xml:space="preserve">WORKING PROGRAM </w:t>
      </w:r>
    </w:p>
    <w:p w:rsidR="008367DA" w:rsidRDefault="008367DA" w:rsidP="00556821">
      <w:pPr>
        <w:spacing w:after="0" w:line="240" w:lineRule="auto"/>
        <w:jc w:val="center"/>
        <w:rPr>
          <w:rFonts w:ascii="LindeDaxOffice_russian" w:hAnsi="LindeDaxOffice_russian" w:cs="Times New Roman"/>
          <w:b/>
          <w:sz w:val="24"/>
          <w:szCs w:val="24"/>
        </w:rPr>
      </w:pPr>
    </w:p>
    <w:p w:rsidR="00556821" w:rsidRPr="00891ED2"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 xml:space="preserve">OF SPECIALITY GASES WORKING GROUP </w:t>
      </w:r>
    </w:p>
    <w:p w:rsidR="00A23EB1"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OF ASSOCIATION OF INDUSTRIAL AND MEDICAL GASES PRODUCERS ON 2016</w:t>
      </w:r>
    </w:p>
    <w:p w:rsidR="008367DA" w:rsidRPr="00891ED2" w:rsidRDefault="008367DA" w:rsidP="00556821">
      <w:pPr>
        <w:spacing w:after="0" w:line="240" w:lineRule="auto"/>
        <w:jc w:val="center"/>
        <w:rPr>
          <w:rFonts w:ascii="LindeDaxOffice_russian" w:hAnsi="LindeDaxOffice_russian" w:cs="Times New Roman"/>
          <w:b/>
          <w:sz w:val="24"/>
          <w:szCs w:val="24"/>
        </w:rPr>
      </w:pPr>
    </w:p>
    <w:tbl>
      <w:tblPr>
        <w:tblW w:w="10745" w:type="dxa"/>
        <w:tblInd w:w="108" w:type="dxa"/>
        <w:tblLook w:val="00A0"/>
      </w:tblPr>
      <w:tblGrid>
        <w:gridCol w:w="5242"/>
        <w:gridCol w:w="5503"/>
      </w:tblGrid>
      <w:tr w:rsidR="00461E23" w:rsidRPr="00D04358" w:rsidTr="00556821">
        <w:trPr>
          <w:trHeight w:val="2117"/>
        </w:trPr>
        <w:tc>
          <w:tcPr>
            <w:tcW w:w="5242" w:type="dxa"/>
          </w:tcPr>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lastRenderedPageBreak/>
              <w:t xml:space="preserve">Изучение </w:t>
            </w:r>
            <w:r w:rsidR="00730A80">
              <w:rPr>
                <w:rFonts w:ascii="LindeDaxOffice_russian" w:hAnsi="LindeDaxOffice_russian" w:cs="Times New Roman"/>
                <w:b w:val="0"/>
                <w:bCs w:val="0"/>
                <w:i w:val="0"/>
                <w:iCs w:val="0"/>
                <w:sz w:val="24"/>
                <w:lang w:val="ru-RU"/>
              </w:rPr>
              <w:t>отличий Российских и Европейски</w:t>
            </w:r>
            <w:r w:rsidR="00730A80" w:rsidRPr="00730A80">
              <w:rPr>
                <w:rFonts w:ascii="LindeDaxOffice_russian" w:hAnsi="LindeDaxOffice_russian" w:cs="Times New Roman"/>
                <w:b w:val="0"/>
                <w:bCs w:val="0"/>
                <w:i w:val="0"/>
                <w:iCs w:val="0"/>
                <w:sz w:val="24"/>
                <w:lang w:val="ru-RU"/>
              </w:rPr>
              <w:t>х</w:t>
            </w:r>
            <w:r w:rsidRPr="00D04358">
              <w:rPr>
                <w:rFonts w:ascii="LindeDaxOffice_russian" w:hAnsi="LindeDaxOffice_russian" w:cs="Times New Roman"/>
                <w:b w:val="0"/>
                <w:bCs w:val="0"/>
                <w:i w:val="0"/>
                <w:iCs w:val="0"/>
                <w:sz w:val="24"/>
                <w:lang w:val="ru-RU"/>
              </w:rPr>
              <w:t xml:space="preserve"> стандартов в области контроля качества производства Специальных газов и смесей (для Государственных стандартных образцов ГСО – </w:t>
            </w:r>
            <w:r w:rsidRPr="00D04358">
              <w:rPr>
                <w:rFonts w:ascii="LindeDaxOffice_russian" w:hAnsi="LindeDaxOffice_russian" w:cs="Times New Roman"/>
                <w:b w:val="0"/>
                <w:bCs w:val="0"/>
                <w:i w:val="0"/>
                <w:iCs w:val="0"/>
                <w:sz w:val="24"/>
              </w:rPr>
              <w:t>ISO</w:t>
            </w:r>
            <w:r w:rsidRPr="00D04358">
              <w:rPr>
                <w:rFonts w:ascii="LindeDaxOffice_russian" w:hAnsi="LindeDaxOffice_russian" w:cs="Times New Roman"/>
                <w:b w:val="0"/>
                <w:bCs w:val="0"/>
                <w:i w:val="0"/>
                <w:iCs w:val="0"/>
                <w:sz w:val="24"/>
                <w:lang w:val="ru-RU"/>
              </w:rPr>
              <w:t xml:space="preserve"> 34, для аккредитации лабораторий - ISO 17025). </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 xml:space="preserve">Изучение отличий методик расчета и обоснования класса опасности газовых смесей по ГОСТ и </w:t>
            </w:r>
            <w:r w:rsidRPr="00D04358">
              <w:rPr>
                <w:rFonts w:ascii="LindeDaxOffice_russian" w:hAnsi="LindeDaxOffice_russian" w:cs="Times New Roman"/>
                <w:b w:val="0"/>
                <w:bCs w:val="0"/>
                <w:i w:val="0"/>
                <w:iCs w:val="0"/>
                <w:sz w:val="24"/>
              </w:rPr>
              <w:t>EIGA</w:t>
            </w:r>
            <w:r w:rsidRPr="00D04358">
              <w:rPr>
                <w:rFonts w:ascii="LindeDaxOffice_russian" w:hAnsi="LindeDaxOffice_russian" w:cs="Times New Roman"/>
                <w:b w:val="0"/>
                <w:bCs w:val="0"/>
                <w:i w:val="0"/>
                <w:iCs w:val="0"/>
                <w:sz w:val="24"/>
                <w:lang w:val="ru-RU"/>
              </w:rPr>
              <w:t>. Определение целесообразности и возможных путей адаптации этих методик (задача по возможности избегать необходимость тестовых испытаний каждого типа смеси, а безопасность присваивать расчетными методами).</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 xml:space="preserve">Изучение возможности адаптации маркировки Специальных газов в России к Европейским стандартам </w:t>
            </w:r>
            <w:r w:rsidRPr="00D04358">
              <w:rPr>
                <w:rFonts w:ascii="LindeDaxOffice_russian" w:hAnsi="LindeDaxOffice_russian" w:cs="Times New Roman"/>
                <w:b w:val="0"/>
                <w:bCs w:val="0"/>
                <w:i w:val="0"/>
                <w:iCs w:val="0"/>
                <w:sz w:val="24"/>
              </w:rPr>
              <w:t>EIGA</w:t>
            </w:r>
            <w:r w:rsidRPr="00D04358">
              <w:rPr>
                <w:rFonts w:ascii="LindeDaxOffice_russian" w:hAnsi="LindeDaxOffice_russian" w:cs="Times New Roman"/>
                <w:b w:val="0"/>
                <w:bCs w:val="0"/>
                <w:i w:val="0"/>
                <w:iCs w:val="0"/>
                <w:sz w:val="24"/>
                <w:lang w:val="ru-RU"/>
              </w:rPr>
              <w:t xml:space="preserve">. </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Изучить проект технического регламента Таможенного союза "О безопасности химической продукции" и оценить его влияние на производство и поставку Специальных газов.</w:t>
            </w:r>
          </w:p>
          <w:p w:rsidR="00461E23" w:rsidRPr="00D04358" w:rsidRDefault="00461E23" w:rsidP="00F90E75">
            <w:pPr>
              <w:pStyle w:val="2"/>
              <w:jc w:val="both"/>
              <w:rPr>
                <w:rFonts w:ascii="LindeDaxOffice_russian" w:hAnsi="LindeDaxOffice_russian" w:cs="Times New Roman"/>
                <w:b w:val="0"/>
                <w:bCs w:val="0"/>
                <w:i w:val="0"/>
                <w:iCs w:val="0"/>
                <w:sz w:val="24"/>
                <w:lang w:val="ru-RU"/>
              </w:rPr>
            </w:pPr>
          </w:p>
          <w:p w:rsidR="00461E23" w:rsidRPr="005F0ACD" w:rsidRDefault="005F0ACD" w:rsidP="00C36525">
            <w:pPr>
              <w:pStyle w:val="2"/>
              <w:jc w:val="both"/>
              <w:rPr>
                <w:rFonts w:ascii="LindeDaxOffice_russian" w:hAnsi="LindeDaxOffice_russian"/>
                <w:szCs w:val="22"/>
                <w:lang w:val="ru-RU"/>
              </w:rPr>
            </w:pPr>
            <w:r w:rsidRPr="005F0ACD">
              <w:rPr>
                <w:rFonts w:ascii="LindeDaxOffice_russian" w:hAnsi="LindeDaxOffice_russian"/>
                <w:szCs w:val="22"/>
                <w:lang w:val="ru-RU"/>
              </w:rPr>
              <w:t>Подпись:</w:t>
            </w:r>
          </w:p>
          <w:p w:rsidR="005F0ACD" w:rsidRDefault="005F0ACD" w:rsidP="00C36525">
            <w:pPr>
              <w:spacing w:after="0" w:line="240" w:lineRule="auto"/>
              <w:rPr>
                <w:rFonts w:ascii="LindeDaxOffice_russian" w:hAnsi="LindeDaxOffice_russian"/>
                <w:lang w:eastAsia="ru-RU"/>
              </w:rPr>
            </w:pPr>
            <w:r w:rsidRPr="005F0ACD">
              <w:rPr>
                <w:rFonts w:ascii="LindeDaxOffice_russian" w:hAnsi="LindeDaxOffice_russian"/>
                <w:lang w:val="ru-RU" w:eastAsia="ru-RU"/>
              </w:rPr>
              <w:t>Члены Рабочей группы</w:t>
            </w:r>
          </w:p>
          <w:p w:rsidR="008367DA" w:rsidRPr="008367DA" w:rsidRDefault="008367DA" w:rsidP="00C36525">
            <w:pPr>
              <w:spacing w:after="0" w:line="240" w:lineRule="auto"/>
              <w:rPr>
                <w:rFonts w:ascii="LindeDaxOffice_russian" w:hAnsi="LindeDaxOffice_russian"/>
                <w:lang w:eastAsia="ru-RU"/>
              </w:rPr>
            </w:pPr>
          </w:p>
          <w:p w:rsidR="005F0ACD" w:rsidRPr="00C36525" w:rsidRDefault="005F0ACD" w:rsidP="00C36525">
            <w:pPr>
              <w:spacing w:after="0" w:line="240" w:lineRule="auto"/>
              <w:rPr>
                <w:rFonts w:ascii="LindeDaxOffice_russian" w:hAnsi="LindeDaxOffice_russian"/>
                <w:b/>
                <w:lang w:val="ru-RU" w:eastAsia="ru-RU"/>
              </w:rPr>
            </w:pPr>
            <w:r w:rsidRPr="00C36525">
              <w:rPr>
                <w:rFonts w:ascii="LindeDaxOffice_russian" w:hAnsi="LindeDaxOffice_russian"/>
                <w:b/>
                <w:lang w:val="ru-RU" w:eastAsia="ru-RU"/>
              </w:rPr>
              <w:t>Дата:</w:t>
            </w:r>
          </w:p>
          <w:p w:rsidR="005F0ACD" w:rsidRPr="005F0ACD" w:rsidRDefault="005F0ACD" w:rsidP="00C36525">
            <w:pPr>
              <w:spacing w:after="0" w:line="240" w:lineRule="auto"/>
              <w:rPr>
                <w:lang w:val="ru-RU" w:eastAsia="ru-RU"/>
              </w:rPr>
            </w:pPr>
            <w:r w:rsidRPr="005F0ACD">
              <w:rPr>
                <w:rFonts w:ascii="LindeDaxOffice_russian" w:hAnsi="LindeDaxOffice_russian"/>
                <w:lang w:val="ru-RU" w:eastAsia="ru-RU"/>
              </w:rPr>
              <w:t>28 апреля 2016 г.</w:t>
            </w:r>
          </w:p>
        </w:tc>
        <w:tc>
          <w:tcPr>
            <w:tcW w:w="5503" w:type="dxa"/>
          </w:tcPr>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difference between Russian and European standards for SG production quality control (for the State certified reference standards GSO – ISO 34, for laboratories - ISO 17025). </w:t>
            </w:r>
          </w:p>
          <w:p w:rsidR="00461E23" w:rsidRPr="00D04358" w:rsidRDefault="00461E23" w:rsidP="00A22AB9">
            <w:pPr>
              <w:pStyle w:val="2"/>
              <w:ind w:left="37" w:firstLine="383"/>
              <w:jc w:val="both"/>
              <w:rPr>
                <w:rFonts w:ascii="LindeDaxOffice_russian" w:hAnsi="LindeDaxOffice_russian" w:cs="Times New Roman"/>
                <w:b w:val="0"/>
                <w:bCs w:val="0"/>
                <w:i w:val="0"/>
                <w:iCs w:val="0"/>
                <w:sz w:val="24"/>
              </w:rPr>
            </w:pPr>
          </w:p>
          <w:p w:rsidR="00461E23" w:rsidRPr="00D04358" w:rsidRDefault="00461E23" w:rsidP="00A22AB9">
            <w:pPr>
              <w:pStyle w:val="2"/>
              <w:ind w:left="37" w:firstLine="383"/>
              <w:jc w:val="both"/>
              <w:rPr>
                <w:rFonts w:ascii="LindeDaxOffice_russian" w:hAnsi="LindeDaxOffice_russian" w:cs="Times New Roman"/>
                <w:b w:val="0"/>
                <w:bCs w:val="0"/>
                <w:i w:val="0"/>
                <w:iCs w:val="0"/>
                <w:sz w:val="24"/>
              </w:rPr>
            </w:pPr>
          </w:p>
          <w:p w:rsidR="00461E23"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difference in methods of calculation and classification of hazardous gaseous mixtures by GOST and EIGA. Understanding the appropriateness and possibilities for these methods adaptation, (the main task is to avoid, if possible, the requirement of experimental safety proving for each type of mixture, but use calculation methods).  </w:t>
            </w:r>
          </w:p>
          <w:p w:rsidR="00A22AB9" w:rsidRPr="00A22AB9" w:rsidRDefault="00A22AB9" w:rsidP="00A22AB9">
            <w:pPr>
              <w:rPr>
                <w:lang w:eastAsia="ru-RU"/>
              </w:rPr>
            </w:pPr>
          </w:p>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possibility of Russia SG </w:t>
            </w:r>
            <w:r w:rsidR="004E6E99" w:rsidRPr="00D04358">
              <w:rPr>
                <w:rFonts w:ascii="LindeDaxOffice_russian" w:hAnsi="LindeDaxOffice_russian" w:cs="Times New Roman"/>
                <w:b w:val="0"/>
                <w:bCs w:val="0"/>
                <w:i w:val="0"/>
                <w:iCs w:val="0"/>
                <w:sz w:val="24"/>
              </w:rPr>
              <w:t>labeling</w:t>
            </w:r>
            <w:r w:rsidRPr="00D04358">
              <w:rPr>
                <w:rFonts w:ascii="LindeDaxOffice_russian" w:hAnsi="LindeDaxOffice_russian" w:cs="Times New Roman"/>
                <w:b w:val="0"/>
                <w:bCs w:val="0"/>
                <w:i w:val="0"/>
                <w:iCs w:val="0"/>
                <w:sz w:val="24"/>
              </w:rPr>
              <w:t xml:space="preserve"> standards to European EIGA.</w:t>
            </w:r>
          </w:p>
          <w:p w:rsidR="00461E23" w:rsidRPr="00D04358" w:rsidRDefault="00461E23" w:rsidP="00A22AB9">
            <w:pPr>
              <w:spacing w:after="0" w:line="240" w:lineRule="auto"/>
              <w:ind w:left="37" w:firstLine="383"/>
              <w:rPr>
                <w:rFonts w:ascii="LindeDaxOffice_russian" w:hAnsi="LindeDaxOffice_russian"/>
                <w:lang w:eastAsia="ru-RU"/>
              </w:rPr>
            </w:pPr>
          </w:p>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Study the project of Custom Union technical regulation “About safety of chemical products” and estimate its influence on SG production and distribution.</w:t>
            </w:r>
          </w:p>
          <w:p w:rsidR="00461E23" w:rsidRPr="00D04358" w:rsidRDefault="00461E23" w:rsidP="00A22AB9">
            <w:pPr>
              <w:tabs>
                <w:tab w:val="left" w:pos="142"/>
              </w:tabs>
              <w:spacing w:after="0" w:line="240" w:lineRule="auto"/>
              <w:ind w:left="37" w:firstLine="383"/>
              <w:jc w:val="both"/>
              <w:rPr>
                <w:rFonts w:ascii="LindeDaxOffice_russian" w:hAnsi="LindeDaxOffice_russian"/>
                <w:b/>
                <w:color w:val="000000"/>
                <w:sz w:val="24"/>
                <w:szCs w:val="24"/>
                <w:lang w:eastAsia="de-DE"/>
              </w:rPr>
            </w:pPr>
          </w:p>
          <w:p w:rsidR="002F7E9B" w:rsidRDefault="002F7E9B" w:rsidP="001221BC">
            <w:pPr>
              <w:pStyle w:val="2"/>
              <w:jc w:val="both"/>
              <w:rPr>
                <w:rFonts w:ascii="LindeDaxOffice_russian" w:hAnsi="LindeDaxOffice_russian"/>
                <w:color w:val="000000"/>
                <w:szCs w:val="22"/>
                <w:lang w:eastAsia="de-DE"/>
              </w:rPr>
            </w:pPr>
          </w:p>
          <w:p w:rsidR="00461E23" w:rsidRPr="00894EB3" w:rsidRDefault="002A3EB8" w:rsidP="001221BC">
            <w:pPr>
              <w:pStyle w:val="2"/>
              <w:jc w:val="both"/>
              <w:rPr>
                <w:rFonts w:ascii="LindeDaxOffice_russian" w:hAnsi="LindeDaxOffice_russian"/>
                <w:color w:val="000000"/>
                <w:szCs w:val="22"/>
                <w:lang w:eastAsia="de-DE"/>
              </w:rPr>
            </w:pPr>
            <w:r w:rsidRPr="00894EB3">
              <w:rPr>
                <w:rFonts w:ascii="LindeDaxOffice_russian" w:hAnsi="LindeDaxOffice_russian"/>
                <w:color w:val="000000"/>
                <w:szCs w:val="22"/>
                <w:lang w:eastAsia="de-DE"/>
              </w:rPr>
              <w:t>Signature:</w:t>
            </w:r>
          </w:p>
          <w:p w:rsidR="002A3EB8" w:rsidRDefault="002A3EB8" w:rsidP="001221BC">
            <w:pPr>
              <w:spacing w:after="0"/>
              <w:rPr>
                <w:rFonts w:ascii="LindeDaxOffice_russian" w:hAnsi="LindeDaxOffice_russian"/>
                <w:lang w:eastAsia="de-DE"/>
              </w:rPr>
            </w:pPr>
            <w:r w:rsidRPr="001221BC">
              <w:rPr>
                <w:rFonts w:ascii="LindeDaxOffice_russian" w:hAnsi="LindeDaxOffice_russian"/>
                <w:lang w:eastAsia="de-DE"/>
              </w:rPr>
              <w:t>Members of the Working group</w:t>
            </w:r>
          </w:p>
          <w:p w:rsidR="008367DA" w:rsidRPr="001221BC" w:rsidRDefault="008367DA" w:rsidP="001221BC">
            <w:pPr>
              <w:spacing w:after="0"/>
              <w:rPr>
                <w:rFonts w:ascii="LindeDaxOffice_russian" w:hAnsi="LindeDaxOffice_russian"/>
                <w:lang w:eastAsia="de-DE"/>
              </w:rPr>
            </w:pPr>
          </w:p>
          <w:p w:rsidR="002A3EB8" w:rsidRPr="00894EB3" w:rsidRDefault="002A3EB8" w:rsidP="001221BC">
            <w:pPr>
              <w:spacing w:after="0"/>
              <w:rPr>
                <w:rFonts w:ascii="LindeDaxOffice_russian" w:hAnsi="LindeDaxOffice_russian"/>
                <w:b/>
                <w:lang w:val="ru-RU" w:eastAsia="de-DE"/>
              </w:rPr>
            </w:pPr>
            <w:r w:rsidRPr="00894EB3">
              <w:rPr>
                <w:rFonts w:ascii="LindeDaxOffice_russian" w:hAnsi="LindeDaxOffice_russian"/>
                <w:b/>
                <w:lang w:eastAsia="de-DE"/>
              </w:rPr>
              <w:t>Date</w:t>
            </w:r>
            <w:r w:rsidRPr="00894EB3">
              <w:rPr>
                <w:rFonts w:ascii="LindeDaxOffice_russian" w:hAnsi="LindeDaxOffice_russian"/>
                <w:b/>
                <w:lang w:val="ru-RU" w:eastAsia="de-DE"/>
              </w:rPr>
              <w:t>:</w:t>
            </w:r>
          </w:p>
          <w:p w:rsidR="002A3EB8" w:rsidRPr="002A3EB8" w:rsidRDefault="002A3EB8" w:rsidP="001221BC">
            <w:pPr>
              <w:spacing w:after="0"/>
              <w:rPr>
                <w:lang w:eastAsia="de-DE"/>
              </w:rPr>
            </w:pPr>
            <w:r w:rsidRPr="00894EB3">
              <w:rPr>
                <w:rFonts w:ascii="LindeDaxOffice_russian" w:hAnsi="LindeDaxOffice_russian"/>
                <w:b/>
                <w:lang w:eastAsia="de-DE"/>
              </w:rPr>
              <w:t>April 28, 2016.</w:t>
            </w:r>
          </w:p>
        </w:tc>
      </w:tr>
    </w:tbl>
    <w:p w:rsidR="008076A9" w:rsidRDefault="00A23EB1" w:rsidP="008076A9">
      <w:pPr>
        <w:spacing w:after="0" w:line="240" w:lineRule="auto"/>
        <w:ind w:left="709"/>
        <w:jc w:val="both"/>
        <w:rPr>
          <w:rFonts w:ascii="Times New Roman" w:eastAsia="Times New Roman" w:hAnsi="Times New Roman" w:cs="Times New Roman"/>
          <w:color w:val="000000"/>
          <w:sz w:val="28"/>
          <w:szCs w:val="28"/>
          <w:lang w:val="ru-RU"/>
        </w:rPr>
      </w:pPr>
      <w:r w:rsidRPr="00A23EB1">
        <w:rPr>
          <w:rFonts w:ascii="Times New Roman" w:eastAsia="Times New Roman" w:hAnsi="Times New Roman" w:cs="Times New Roman"/>
          <w:noProof/>
          <w:color w:val="000000"/>
          <w:sz w:val="28"/>
          <w:szCs w:val="28"/>
          <w:lang w:val="ru-RU" w:eastAsia="ru-RU"/>
        </w:rPr>
        <w:drawing>
          <wp:inline distT="0" distB="0" distL="0" distR="0">
            <wp:extent cx="6120765" cy="1865103"/>
            <wp:effectExtent l="19050" t="0" r="0" b="0"/>
            <wp:docPr id="5" name="Рисунок 4" descr="Подпись_A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_APIMG"/>
                    <pic:cNvPicPr>
                      <a:picLocks noChangeAspect="1" noChangeArrowheads="1"/>
                    </pic:cNvPicPr>
                  </pic:nvPicPr>
                  <pic:blipFill>
                    <a:blip r:embed="rId6" cstate="print"/>
                    <a:srcRect/>
                    <a:stretch>
                      <a:fillRect/>
                    </a:stretch>
                  </pic:blipFill>
                  <pic:spPr bwMode="auto">
                    <a:xfrm>
                      <a:off x="0" y="0"/>
                      <a:ext cx="6120765" cy="1865103"/>
                    </a:xfrm>
                    <a:prstGeom prst="rect">
                      <a:avLst/>
                    </a:prstGeom>
                    <a:noFill/>
                    <a:ln w="9525">
                      <a:noFill/>
                      <a:miter lim="800000"/>
                      <a:headEnd/>
                      <a:tailEnd/>
                    </a:ln>
                  </pic:spPr>
                </pic:pic>
              </a:graphicData>
            </a:graphic>
          </wp:inline>
        </w:drawing>
      </w:r>
    </w:p>
    <w:sectPr w:rsidR="008076A9" w:rsidSect="008367DA">
      <w:pgSz w:w="12240" w:h="15840"/>
      <w:pgMar w:top="284" w:right="1077" w:bottom="28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ndeDaxOffice_russian">
    <w:altName w:val="Segoe UI"/>
    <w:charset w:val="CC"/>
    <w:family w:val="swiss"/>
    <w:pitch w:val="variable"/>
    <w:sig w:usb0="00000001" w:usb1="5000000A"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9D8"/>
    <w:multiLevelType w:val="hybridMultilevel"/>
    <w:tmpl w:val="4AE24C6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96A0987"/>
    <w:multiLevelType w:val="hybridMultilevel"/>
    <w:tmpl w:val="872C304A"/>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FA55FFF"/>
    <w:multiLevelType w:val="hybridMultilevel"/>
    <w:tmpl w:val="E4425730"/>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3A610B6"/>
    <w:multiLevelType w:val="hybridMultilevel"/>
    <w:tmpl w:val="7590791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141BF"/>
    <w:rsid w:val="001221BC"/>
    <w:rsid w:val="002141BF"/>
    <w:rsid w:val="002A344D"/>
    <w:rsid w:val="002A3EB8"/>
    <w:rsid w:val="002F7E9B"/>
    <w:rsid w:val="003205EA"/>
    <w:rsid w:val="00393F5E"/>
    <w:rsid w:val="00396E91"/>
    <w:rsid w:val="00461E23"/>
    <w:rsid w:val="004E6E99"/>
    <w:rsid w:val="00556821"/>
    <w:rsid w:val="00594843"/>
    <w:rsid w:val="005F0ACD"/>
    <w:rsid w:val="0063167E"/>
    <w:rsid w:val="006701F3"/>
    <w:rsid w:val="006D6E86"/>
    <w:rsid w:val="00730A80"/>
    <w:rsid w:val="007E5662"/>
    <w:rsid w:val="007F64F9"/>
    <w:rsid w:val="008076A9"/>
    <w:rsid w:val="00815FCD"/>
    <w:rsid w:val="008367DA"/>
    <w:rsid w:val="00891ED2"/>
    <w:rsid w:val="00894EB3"/>
    <w:rsid w:val="00984AAD"/>
    <w:rsid w:val="009A7F00"/>
    <w:rsid w:val="00A10DE8"/>
    <w:rsid w:val="00A22AB9"/>
    <w:rsid w:val="00A23EB1"/>
    <w:rsid w:val="00B7724C"/>
    <w:rsid w:val="00C36525"/>
    <w:rsid w:val="00C7373B"/>
    <w:rsid w:val="00CE1A94"/>
    <w:rsid w:val="00CE66DA"/>
    <w:rsid w:val="00D04358"/>
    <w:rsid w:val="00D14CD3"/>
    <w:rsid w:val="00D507FC"/>
    <w:rsid w:val="00E67DA7"/>
    <w:rsid w:val="00EF3FF4"/>
    <w:rsid w:val="00F00F7A"/>
    <w:rsid w:val="00F6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F4"/>
  </w:style>
  <w:style w:type="paragraph" w:styleId="2">
    <w:name w:val="heading 2"/>
    <w:basedOn w:val="a"/>
    <w:next w:val="a"/>
    <w:link w:val="20"/>
    <w:qFormat/>
    <w:rsid w:val="00461E23"/>
    <w:pPr>
      <w:keepNext/>
      <w:spacing w:after="0" w:line="240" w:lineRule="auto"/>
      <w:outlineLvl w:val="1"/>
    </w:pPr>
    <w:rPr>
      <w:rFonts w:ascii="Arial" w:eastAsia="Times New Roman" w:hAnsi="Arial" w:cs="Arial"/>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2141BF"/>
  </w:style>
  <w:style w:type="character" w:styleId="a4">
    <w:name w:val="Hyperlink"/>
    <w:basedOn w:val="a0"/>
    <w:uiPriority w:val="99"/>
    <w:semiHidden/>
    <w:unhideWhenUsed/>
    <w:rsid w:val="002141BF"/>
    <w:rPr>
      <w:color w:val="0000FF"/>
      <w:u w:val="single"/>
    </w:rPr>
  </w:style>
  <w:style w:type="table" w:styleId="a5">
    <w:name w:val="Table Grid"/>
    <w:basedOn w:val="a1"/>
    <w:uiPriority w:val="59"/>
    <w:rsid w:val="0080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0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7FC"/>
    <w:rPr>
      <w:rFonts w:ascii="Tahoma" w:hAnsi="Tahoma" w:cs="Tahoma"/>
      <w:sz w:val="16"/>
      <w:szCs w:val="16"/>
    </w:rPr>
  </w:style>
  <w:style w:type="paragraph" w:styleId="a8">
    <w:name w:val="List Paragraph"/>
    <w:basedOn w:val="a"/>
    <w:uiPriority w:val="34"/>
    <w:qFormat/>
    <w:rsid w:val="00D507FC"/>
    <w:pPr>
      <w:ind w:left="720"/>
      <w:contextualSpacing/>
    </w:pPr>
    <w:rPr>
      <w:lang w:val="ru-RU"/>
    </w:rPr>
  </w:style>
  <w:style w:type="character" w:customStyle="1" w:styleId="20">
    <w:name w:val="Заголовок 2 Знак"/>
    <w:basedOn w:val="a0"/>
    <w:link w:val="2"/>
    <w:rsid w:val="00461E23"/>
    <w:rPr>
      <w:rFonts w:ascii="Arial" w:eastAsia="Times New Roman" w:hAnsi="Arial" w:cs="Arial"/>
      <w:b/>
      <w:bCs/>
      <w:i/>
      <w:iCs/>
      <w:szCs w:val="24"/>
      <w:lang w:eastAsia="ru-RU"/>
    </w:rPr>
  </w:style>
</w:styles>
</file>

<file path=word/webSettings.xml><?xml version="1.0" encoding="utf-8"?>
<w:webSettings xmlns:r="http://schemas.openxmlformats.org/officeDocument/2006/relationships" xmlns:w="http://schemas.openxmlformats.org/wordprocessingml/2006/main">
  <w:divs>
    <w:div w:id="1073048457">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Air Liquide</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irina.volkova</dc:creator>
  <cp:lastModifiedBy>Kompas</cp:lastModifiedBy>
  <cp:revision>2</cp:revision>
  <dcterms:created xsi:type="dcterms:W3CDTF">2016-06-09T06:04:00Z</dcterms:created>
  <dcterms:modified xsi:type="dcterms:W3CDTF">2016-06-09T06:04:00Z</dcterms:modified>
</cp:coreProperties>
</file>