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855" w:rsidRDefault="00340855" w:rsidP="009E574E">
      <w:pPr>
        <w:spacing w:after="0" w:line="240" w:lineRule="auto"/>
        <w:rPr>
          <w:rFonts w:ascii="LindeDaxOffice_russian" w:hAnsi="LindeDaxOffice_russian"/>
          <w:b/>
          <w:lang w:val="en-US"/>
        </w:rPr>
      </w:pPr>
      <w:r w:rsidRPr="00340855">
        <w:rPr>
          <w:rFonts w:ascii="LindeDaxOffice_russian" w:hAnsi="LindeDaxOffice_russian"/>
          <w:b/>
          <w:lang w:val="en-US"/>
        </w:rPr>
        <w:drawing>
          <wp:inline distT="0" distB="0" distL="0" distR="0">
            <wp:extent cx="5940425" cy="1100223"/>
            <wp:effectExtent l="19050" t="0" r="3175" b="0"/>
            <wp:docPr id="4" name="Рисунок 1" descr="Letter head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head_APIM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55" w:rsidRDefault="00340855" w:rsidP="009E574E">
      <w:pPr>
        <w:spacing w:after="0" w:line="240" w:lineRule="auto"/>
        <w:rPr>
          <w:rFonts w:ascii="LindeDaxOffice_russian" w:hAnsi="LindeDaxOffice_russian"/>
          <w:b/>
          <w:lang w:val="en-US"/>
        </w:rPr>
      </w:pPr>
    </w:p>
    <w:p w:rsidR="00340855" w:rsidRPr="00340855" w:rsidRDefault="00340855" w:rsidP="00340855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340855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WORKING PROGRAM </w:t>
      </w:r>
    </w:p>
    <w:p w:rsidR="00340855" w:rsidRPr="00340855" w:rsidRDefault="00340855" w:rsidP="00340855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340855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OF </w:t>
      </w:r>
      <w:r>
        <w:rPr>
          <w:rFonts w:ascii="LindeDaxOffice_russian" w:hAnsi="LindeDaxOffice_russian" w:cs="Times New Roman"/>
          <w:b/>
          <w:sz w:val="24"/>
          <w:szCs w:val="24"/>
          <w:lang w:val="en-US"/>
        </w:rPr>
        <w:t>TRANSPORT</w:t>
      </w:r>
      <w:r w:rsidRPr="00340855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 WORKING GROUP </w:t>
      </w:r>
    </w:p>
    <w:p w:rsidR="00340855" w:rsidRPr="00340855" w:rsidRDefault="00340855" w:rsidP="00340855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340855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OF ASSOCIATION OF INDUSTRIAL AND MEDICAL GASES PRODUCERS ON </w:t>
      </w:r>
      <w:r>
        <w:rPr>
          <w:rFonts w:ascii="LindeDaxOffice_russian" w:hAnsi="LindeDaxOffice_russian" w:cs="Times New Roman"/>
          <w:b/>
          <w:sz w:val="24"/>
          <w:szCs w:val="24"/>
          <w:lang w:val="en-US"/>
        </w:rPr>
        <w:t>2015-</w:t>
      </w:r>
      <w:r w:rsidRPr="00340855">
        <w:rPr>
          <w:rFonts w:ascii="LindeDaxOffice_russian" w:hAnsi="LindeDaxOffice_russian" w:cs="Times New Roman"/>
          <w:b/>
          <w:sz w:val="24"/>
          <w:szCs w:val="24"/>
          <w:lang w:val="en-US"/>
        </w:rPr>
        <w:t>2016</w:t>
      </w:r>
    </w:p>
    <w:p w:rsidR="00A42B14" w:rsidRPr="00130307" w:rsidRDefault="00A42B14" w:rsidP="00A42B14">
      <w:pPr>
        <w:spacing w:after="0" w:line="240" w:lineRule="auto"/>
        <w:rPr>
          <w:rFonts w:ascii="LindeDaxOffice_russian" w:hAnsi="LindeDaxOffice_russian"/>
          <w:lang w:val="en-US"/>
        </w:rPr>
      </w:pPr>
    </w:p>
    <w:tbl>
      <w:tblPr>
        <w:tblStyle w:val="a3"/>
        <w:tblW w:w="0" w:type="auto"/>
        <w:tblLook w:val="04A0"/>
      </w:tblPr>
      <w:tblGrid>
        <w:gridCol w:w="573"/>
        <w:gridCol w:w="2187"/>
        <w:gridCol w:w="3865"/>
        <w:gridCol w:w="2945"/>
      </w:tblGrid>
      <w:tr w:rsidR="00483777" w:rsidRPr="00A80A24" w:rsidTr="008D498F">
        <w:tc>
          <w:tcPr>
            <w:tcW w:w="573" w:type="dxa"/>
          </w:tcPr>
          <w:p w:rsidR="008D498F" w:rsidRPr="00A80A24" w:rsidRDefault="008D498F" w:rsidP="00AA2DC2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 xml:space="preserve">№ </w:t>
            </w:r>
            <w:proofErr w:type="gramStart"/>
            <w:r w:rsidRPr="00A80A24">
              <w:rPr>
                <w:rFonts w:ascii="LindeDaxOffice_russian" w:hAnsi="LindeDaxOffice_russian"/>
              </w:rPr>
              <w:t>п</w:t>
            </w:r>
            <w:proofErr w:type="gramEnd"/>
            <w:r w:rsidRPr="00A80A24">
              <w:rPr>
                <w:rFonts w:ascii="LindeDaxOffice_russian" w:hAnsi="LindeDaxOffice_russian"/>
              </w:rPr>
              <w:t>/п</w:t>
            </w:r>
          </w:p>
        </w:tc>
        <w:tc>
          <w:tcPr>
            <w:tcW w:w="2187" w:type="dxa"/>
            <w:vAlign w:val="center"/>
          </w:tcPr>
          <w:p w:rsidR="008D498F" w:rsidRPr="00130307" w:rsidRDefault="008D498F" w:rsidP="00A80A24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Topic</w:t>
            </w:r>
          </w:p>
        </w:tc>
        <w:tc>
          <w:tcPr>
            <w:tcW w:w="3866" w:type="dxa"/>
            <w:vAlign w:val="center"/>
          </w:tcPr>
          <w:p w:rsidR="008D498F" w:rsidRPr="00130307" w:rsidRDefault="008D498F" w:rsidP="00A80A24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Description</w:t>
            </w:r>
          </w:p>
        </w:tc>
        <w:tc>
          <w:tcPr>
            <w:tcW w:w="2945" w:type="dxa"/>
          </w:tcPr>
          <w:p w:rsidR="008D498F" w:rsidRDefault="008D498F" w:rsidP="00A80A24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Comment</w:t>
            </w:r>
          </w:p>
        </w:tc>
      </w:tr>
      <w:tr w:rsidR="00483777" w:rsidRPr="00340855" w:rsidTr="008D498F">
        <w:tc>
          <w:tcPr>
            <w:tcW w:w="573" w:type="dxa"/>
          </w:tcPr>
          <w:p w:rsidR="008D498F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1</w:t>
            </w:r>
          </w:p>
          <w:p w:rsidR="003A01E3" w:rsidRPr="003D7E83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</w:p>
        </w:tc>
        <w:tc>
          <w:tcPr>
            <w:tcW w:w="2187" w:type="dxa"/>
          </w:tcPr>
          <w:p w:rsidR="008D498F" w:rsidRPr="00130307" w:rsidRDefault="008D498F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 xml:space="preserve">Cooperation with </w:t>
            </w:r>
            <w:r w:rsidR="009E574E">
              <w:rPr>
                <w:rFonts w:ascii="LindeDaxOffice_russian" w:hAnsi="LindeDaxOffice_russian"/>
                <w:lang w:val="en-US"/>
              </w:rPr>
              <w:t xml:space="preserve">RZD, </w:t>
            </w:r>
            <w:r w:rsidR="009E574E" w:rsidRPr="003A01E3">
              <w:rPr>
                <w:rFonts w:ascii="LindeDaxOffice_russian" w:hAnsi="LindeDaxOffice_russian"/>
                <w:lang w:val="en-US"/>
              </w:rPr>
              <w:t xml:space="preserve">RF </w:t>
            </w:r>
            <w:r w:rsidR="009E574E">
              <w:rPr>
                <w:rFonts w:ascii="LindeDaxOffice_russian" w:hAnsi="LindeDaxOffice_russian"/>
                <w:lang w:val="en-US"/>
              </w:rPr>
              <w:t xml:space="preserve">Government, </w:t>
            </w:r>
            <w:proofErr w:type="spellStart"/>
            <w:r w:rsidR="009E574E">
              <w:rPr>
                <w:rFonts w:ascii="LindeDaxOffice_russian" w:hAnsi="LindeDaxOffice_russian"/>
                <w:lang w:val="en-US"/>
              </w:rPr>
              <w:t>RosZHelNadzor</w:t>
            </w:r>
            <w:proofErr w:type="spellEnd"/>
            <w:r w:rsidR="009E574E">
              <w:rPr>
                <w:rFonts w:ascii="LindeDaxOffice_russian" w:hAnsi="LindeDaxOffice_russian"/>
                <w:lang w:val="en-US"/>
              </w:rPr>
              <w:t xml:space="preserve"> </w:t>
            </w:r>
          </w:p>
        </w:tc>
        <w:tc>
          <w:tcPr>
            <w:tcW w:w="3866" w:type="dxa"/>
          </w:tcPr>
          <w:p w:rsidR="008D498F" w:rsidRDefault="008D498F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 w:cs="Arial"/>
                <w:lang w:val="en-US"/>
              </w:rPr>
              <w:t>Initiate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dialog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between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representatives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of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 xml:space="preserve">transport 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workgroup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and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proofErr w:type="spellStart"/>
            <w:r>
              <w:rPr>
                <w:rFonts w:ascii="LindeDaxOffice_russian" w:hAnsi="LindeDaxOffice_russian"/>
                <w:lang w:val="en-US"/>
              </w:rPr>
              <w:t>RosZHelNadzor</w:t>
            </w:r>
            <w:proofErr w:type="spellEnd"/>
            <w:r>
              <w:rPr>
                <w:rFonts w:ascii="LindeDaxOffice_russian" w:hAnsi="LindeDaxOffice_russian" w:cs="Arial"/>
                <w:lang w:val="en-US"/>
              </w:rPr>
              <w:t xml:space="preserve">   to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propose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to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take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part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in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the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development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of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new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and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update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of existing regulations concerning  prolongation of the usage period  for internal Locomotives (TGM 23B, for example)</w:t>
            </w:r>
          </w:p>
          <w:p w:rsidR="008D498F" w:rsidRPr="00130307" w:rsidRDefault="008D498F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</w:p>
        </w:tc>
        <w:tc>
          <w:tcPr>
            <w:tcW w:w="2945" w:type="dxa"/>
          </w:tcPr>
          <w:p w:rsidR="008D498F" w:rsidRDefault="008D498F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 w:cs="Arial"/>
                <w:lang w:val="en-US"/>
              </w:rPr>
              <w:t>A lot of producers use such type of locomotives which are no longer produced, there are no equivalents and there is a strict prohibition of prolongation of usage period</w:t>
            </w:r>
          </w:p>
        </w:tc>
      </w:tr>
      <w:tr w:rsidR="00483777" w:rsidRPr="000C7822" w:rsidTr="008D498F">
        <w:tc>
          <w:tcPr>
            <w:tcW w:w="573" w:type="dxa"/>
          </w:tcPr>
          <w:p w:rsidR="008D498F" w:rsidRPr="003D7E83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2</w:t>
            </w:r>
          </w:p>
        </w:tc>
        <w:tc>
          <w:tcPr>
            <w:tcW w:w="2187" w:type="dxa"/>
          </w:tcPr>
          <w:p w:rsidR="008D498F" w:rsidRPr="00130307" w:rsidRDefault="008D498F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 xml:space="preserve">Cooperation with </w:t>
            </w:r>
          </w:p>
        </w:tc>
        <w:tc>
          <w:tcPr>
            <w:tcW w:w="3866" w:type="dxa"/>
          </w:tcPr>
          <w:p w:rsidR="008D498F" w:rsidRDefault="008D498F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 w:cs="Arial"/>
                <w:lang w:val="en-US"/>
              </w:rPr>
              <w:t>Initiate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dialog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between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representatives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of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 xml:space="preserve">transport 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workgroup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and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 w:rsidR="008D1FB0">
              <w:rPr>
                <w:rFonts w:ascii="LindeDaxOffice_russian" w:hAnsi="LindeDaxOffice_russian"/>
                <w:lang w:val="en-US"/>
              </w:rPr>
              <w:t xml:space="preserve">RZD, Government, </w:t>
            </w:r>
            <w:proofErr w:type="spellStart"/>
            <w:r>
              <w:rPr>
                <w:rFonts w:ascii="LindeDaxOffice_russian" w:hAnsi="LindeDaxOffice_russian"/>
                <w:lang w:val="en-US"/>
              </w:rPr>
              <w:t>RosZHelNadzor</w:t>
            </w:r>
            <w:proofErr w:type="spellEnd"/>
            <w:r>
              <w:rPr>
                <w:rFonts w:ascii="LindeDaxOffice_russian" w:hAnsi="LindeDaxOffice_russian" w:cs="Arial"/>
                <w:lang w:val="en-US"/>
              </w:rPr>
              <w:t xml:space="preserve">  to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propose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to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take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part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in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the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development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of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new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and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>update</w:t>
            </w:r>
            <w:r w:rsidRPr="00130307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 xml:space="preserve">of existing regulations concerning  prolongation of the usage period  of railway tanks  </w:t>
            </w:r>
          </w:p>
          <w:p w:rsidR="008D498F" w:rsidRPr="00130307" w:rsidRDefault="008D498F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</w:p>
        </w:tc>
        <w:tc>
          <w:tcPr>
            <w:tcW w:w="2945" w:type="dxa"/>
          </w:tcPr>
          <w:p w:rsidR="008D498F" w:rsidRDefault="008D1FB0" w:rsidP="000C7822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 w:cs="Arial"/>
                <w:lang w:val="en-US"/>
              </w:rPr>
              <w:t xml:space="preserve">Basis RZD order </w:t>
            </w:r>
            <w:r w:rsidR="003A01E3">
              <w:rPr>
                <w:rFonts w:ascii="LindeDaxOffice_russian" w:hAnsi="LindeDaxOffice_russian" w:cs="Arial"/>
                <w:lang w:val="en-US"/>
              </w:rPr>
              <w:t>dated</w:t>
            </w:r>
            <w:r w:rsidRPr="008D1FB0">
              <w:rPr>
                <w:rFonts w:ascii="LindeDaxOffice_russian" w:hAnsi="LindeDaxOffice_russian" w:cs="Arial"/>
                <w:lang w:val="en-US"/>
              </w:rPr>
              <w:t xml:space="preserve"> 05.08.2014 № 1824</w:t>
            </w:r>
            <w:r>
              <w:rPr>
                <w:rFonts w:ascii="LindeDaxOffice_russian" w:hAnsi="LindeDaxOffice_russian" w:cs="Arial"/>
              </w:rPr>
              <w:t>р</w:t>
            </w:r>
            <w:r>
              <w:rPr>
                <w:rFonts w:ascii="LindeDaxOffice_russian" w:hAnsi="LindeDaxOffice_russian" w:cs="Arial"/>
                <w:lang w:val="en-US"/>
              </w:rPr>
              <w:t>, and in connection with Government decree</w:t>
            </w:r>
            <w:r w:rsidRPr="008D1FB0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 xml:space="preserve">dated </w:t>
            </w:r>
            <w:r w:rsidRPr="008D1FB0">
              <w:rPr>
                <w:rFonts w:ascii="LindeDaxOffice_russian" w:hAnsi="LindeDaxOffice_russian" w:cs="Arial"/>
                <w:lang w:val="en-US"/>
              </w:rPr>
              <w:t>31.07</w:t>
            </w:r>
            <w:r w:rsidR="003A01E3">
              <w:rPr>
                <w:rFonts w:ascii="LindeDaxOffice_russian" w:hAnsi="LindeDaxOffice_russian" w:cs="Arial"/>
                <w:lang w:val="en-US"/>
              </w:rPr>
              <w:t>.2014 №737,</w:t>
            </w:r>
            <w:r w:rsidR="000C7822">
              <w:rPr>
                <w:rFonts w:ascii="LindeDaxOffice_russian" w:hAnsi="LindeDaxOffice_russian" w:cs="Arial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lang w:val="en-US"/>
              </w:rPr>
              <w:t xml:space="preserve">certain railway </w:t>
            </w:r>
            <w:r w:rsidR="008D498F">
              <w:rPr>
                <w:rFonts w:ascii="LindeDaxOffice_russian" w:hAnsi="LindeDaxOffice_russian" w:cs="Arial"/>
                <w:lang w:val="en-US"/>
              </w:rPr>
              <w:t xml:space="preserve">tanks </w:t>
            </w:r>
            <w:r>
              <w:rPr>
                <w:rFonts w:ascii="LindeDaxOffice_russian" w:hAnsi="LindeDaxOffice_russian" w:cs="Arial"/>
                <w:lang w:val="en-US"/>
              </w:rPr>
              <w:t xml:space="preserve">cannot be used. There is no methodology to prolong their </w:t>
            </w:r>
            <w:r w:rsidR="008D498F">
              <w:rPr>
                <w:rFonts w:ascii="LindeDaxOffice_russian" w:hAnsi="LindeDaxOffice_russian" w:cs="Arial"/>
                <w:lang w:val="en-US"/>
              </w:rPr>
              <w:t>usage</w:t>
            </w:r>
            <w:r>
              <w:rPr>
                <w:rFonts w:ascii="LindeDaxOffice_russian" w:hAnsi="LindeDaxOffice_russian" w:cs="Arial"/>
                <w:lang w:val="en-US"/>
              </w:rPr>
              <w:t>.</w:t>
            </w:r>
          </w:p>
        </w:tc>
      </w:tr>
      <w:tr w:rsidR="00483777" w:rsidRPr="00340855" w:rsidTr="008D498F">
        <w:tc>
          <w:tcPr>
            <w:tcW w:w="573" w:type="dxa"/>
          </w:tcPr>
          <w:p w:rsidR="008D498F" w:rsidRPr="003D7E83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3</w:t>
            </w:r>
          </w:p>
        </w:tc>
        <w:tc>
          <w:tcPr>
            <w:tcW w:w="2187" w:type="dxa"/>
          </w:tcPr>
          <w:p w:rsidR="008D498F" w:rsidRPr="00130307" w:rsidRDefault="008D498F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Experience exchange</w:t>
            </w:r>
            <w:r w:rsidR="00D870D6">
              <w:rPr>
                <w:rFonts w:ascii="LindeDaxOffice_russian" w:hAnsi="LindeDaxOffice_russian"/>
                <w:lang w:val="en-US"/>
              </w:rPr>
              <w:t>/Best practice sharing</w:t>
            </w:r>
          </w:p>
        </w:tc>
        <w:tc>
          <w:tcPr>
            <w:tcW w:w="3866" w:type="dxa"/>
          </w:tcPr>
          <w:p w:rsidR="00D870D6" w:rsidRPr="00B75BCE" w:rsidRDefault="00D870D6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 w:cs="Arial"/>
                <w:lang w:val="en-US"/>
              </w:rPr>
              <w:t xml:space="preserve">Arrange best practice sharing opportunities within the representatives of the members </w:t>
            </w:r>
          </w:p>
        </w:tc>
        <w:tc>
          <w:tcPr>
            <w:tcW w:w="2945" w:type="dxa"/>
          </w:tcPr>
          <w:p w:rsidR="008D498F" w:rsidRDefault="008D498F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</w:p>
        </w:tc>
      </w:tr>
      <w:tr w:rsidR="00483777" w:rsidRPr="00340855" w:rsidTr="008D498F">
        <w:tc>
          <w:tcPr>
            <w:tcW w:w="573" w:type="dxa"/>
          </w:tcPr>
          <w:p w:rsidR="00051275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4</w:t>
            </w:r>
          </w:p>
        </w:tc>
        <w:tc>
          <w:tcPr>
            <w:tcW w:w="2187" w:type="dxa"/>
          </w:tcPr>
          <w:p w:rsidR="00051275" w:rsidRPr="003A01E3" w:rsidRDefault="008D1FB0" w:rsidP="00340855">
            <w:pPr>
              <w:jc w:val="both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  <w:lang w:val="en-US"/>
              </w:rPr>
              <w:t>Moscow</w:t>
            </w:r>
            <w:r w:rsidRPr="008D1FB0">
              <w:rPr>
                <w:rFonts w:ascii="LindeDaxOffice_russian" w:hAnsi="LindeDaxOffice_russian"/>
              </w:rPr>
              <w:t xml:space="preserve"> </w:t>
            </w:r>
            <w:r>
              <w:rPr>
                <w:rFonts w:ascii="LindeDaxOffice_russian" w:hAnsi="LindeDaxOffice_russian"/>
                <w:lang w:val="en-US"/>
              </w:rPr>
              <w:t>government</w:t>
            </w:r>
            <w:r w:rsidRPr="008D1FB0">
              <w:rPr>
                <w:rFonts w:ascii="LindeDaxOffice_russian" w:hAnsi="LindeDaxOffice_russian"/>
              </w:rPr>
              <w:t xml:space="preserve">. </w:t>
            </w:r>
            <w:r w:rsidR="003A01E3">
              <w:rPr>
                <w:rFonts w:ascii="LindeDaxOffice_russian" w:hAnsi="LindeDaxOffice_russian"/>
                <w:lang w:val="en-US"/>
              </w:rPr>
              <w:t>Center</w:t>
            </w:r>
            <w:r w:rsidR="003A01E3" w:rsidRPr="003A01E3">
              <w:rPr>
                <w:rFonts w:ascii="LindeDaxOffice_russian" w:hAnsi="LindeDaxOffice_russian"/>
              </w:rPr>
              <w:t xml:space="preserve"> </w:t>
            </w:r>
            <w:r w:rsidR="003A01E3">
              <w:rPr>
                <w:rFonts w:ascii="LindeDaxOffice_russian" w:hAnsi="LindeDaxOffice_russian"/>
                <w:lang w:val="en-US"/>
              </w:rPr>
              <w:t>of</w:t>
            </w:r>
            <w:r w:rsidR="003A01E3" w:rsidRPr="003A01E3">
              <w:rPr>
                <w:rFonts w:ascii="LindeDaxOffice_russian" w:hAnsi="LindeDaxOffice_russian"/>
              </w:rPr>
              <w:t xml:space="preserve"> </w:t>
            </w:r>
            <w:r w:rsidR="003A01E3">
              <w:rPr>
                <w:rFonts w:ascii="LindeDaxOffice_russian" w:hAnsi="LindeDaxOffice_russian"/>
                <w:lang w:val="en-US"/>
              </w:rPr>
              <w:t>Traffic</w:t>
            </w:r>
            <w:r w:rsidR="003A01E3" w:rsidRPr="003A01E3">
              <w:rPr>
                <w:rFonts w:ascii="LindeDaxOffice_russian" w:hAnsi="LindeDaxOffice_russian"/>
              </w:rPr>
              <w:t xml:space="preserve"> </w:t>
            </w:r>
            <w:r w:rsidR="003A01E3">
              <w:rPr>
                <w:rFonts w:ascii="LindeDaxOffice_russian" w:hAnsi="LindeDaxOffice_russian"/>
                <w:lang w:val="en-US"/>
              </w:rPr>
              <w:t>Safety</w:t>
            </w:r>
            <w:r w:rsidR="003A01E3" w:rsidRPr="003A01E3">
              <w:rPr>
                <w:rFonts w:ascii="LindeDaxOffice_russian" w:hAnsi="LindeDaxOffice_russian"/>
              </w:rPr>
              <w:t xml:space="preserve"> ( </w:t>
            </w:r>
            <w:r>
              <w:rPr>
                <w:rFonts w:ascii="LindeDaxOffice_russian" w:hAnsi="LindeDaxOffice_russian"/>
              </w:rPr>
              <w:t>Центр обеспечения безопасности дор</w:t>
            </w:r>
            <w:r w:rsidR="003A01E3">
              <w:rPr>
                <w:rFonts w:ascii="LindeDaxOffice_russian" w:hAnsi="LindeDaxOffice_russian"/>
              </w:rPr>
              <w:t>ожного</w:t>
            </w:r>
            <w:r>
              <w:rPr>
                <w:rFonts w:ascii="LindeDaxOffice_russian" w:hAnsi="LindeDaxOffice_russian"/>
              </w:rPr>
              <w:t xml:space="preserve"> движения (ЦОБДД)</w:t>
            </w:r>
            <w:r w:rsidR="003A01E3" w:rsidRPr="003A01E3">
              <w:rPr>
                <w:rFonts w:ascii="LindeDaxOffice_russian" w:hAnsi="LindeDaxOffice_russian"/>
              </w:rPr>
              <w:t>)</w:t>
            </w:r>
          </w:p>
        </w:tc>
        <w:tc>
          <w:tcPr>
            <w:tcW w:w="3866" w:type="dxa"/>
          </w:tcPr>
          <w:p w:rsidR="00051275" w:rsidRPr="00483777" w:rsidRDefault="003A01E3" w:rsidP="00340855">
            <w:pPr>
              <w:autoSpaceDE w:val="0"/>
              <w:autoSpaceDN w:val="0"/>
              <w:adjustRightInd w:val="0"/>
              <w:jc w:val="both"/>
              <w:rPr>
                <w:rFonts w:ascii="LindeDaxOffice_russian" w:hAnsi="LindeDaxOffice_russian"/>
                <w:lang w:val="en-US"/>
              </w:rPr>
            </w:pPr>
            <w:r w:rsidRPr="00483777">
              <w:rPr>
                <w:rFonts w:ascii="LindeDaxOffice_russian" w:hAnsi="LindeDaxOffice_russian"/>
                <w:lang w:val="en-US"/>
              </w:rPr>
              <w:t xml:space="preserve">Ensure working procedure of getting entry permits </w:t>
            </w:r>
            <w:r w:rsidR="00483777" w:rsidRPr="00483777">
              <w:rPr>
                <w:rFonts w:ascii="LindeDaxOffice_russian" w:hAnsi="LindeDaxOffice_russian"/>
                <w:lang w:val="en-US"/>
              </w:rPr>
              <w:t>for Moscow Ring Road (</w:t>
            </w:r>
            <w:r w:rsidR="00051275" w:rsidRPr="00483777">
              <w:rPr>
                <w:rFonts w:ascii="LindeDaxOffice_russian" w:hAnsi="LindeDaxOffice_russian"/>
                <w:lang w:val="en-US"/>
              </w:rPr>
              <w:t>МКАД</w:t>
            </w:r>
            <w:r w:rsidR="00483777" w:rsidRPr="00483777">
              <w:rPr>
                <w:rFonts w:ascii="LindeDaxOffice_russian" w:hAnsi="LindeDaxOffice_russian"/>
                <w:lang w:val="en-US"/>
              </w:rPr>
              <w:t xml:space="preserve">) and Third Transport Ring (ТТК). </w:t>
            </w:r>
            <w:r w:rsidR="00051275" w:rsidRPr="00483777">
              <w:rPr>
                <w:rFonts w:ascii="LindeDaxOffice_russian" w:hAnsi="LindeDaxOffice_russian"/>
                <w:lang w:val="en-US"/>
              </w:rPr>
              <w:t xml:space="preserve"> </w:t>
            </w:r>
          </w:p>
          <w:p w:rsidR="00051275" w:rsidRPr="00483777" w:rsidRDefault="00051275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</w:p>
        </w:tc>
        <w:tc>
          <w:tcPr>
            <w:tcW w:w="2945" w:type="dxa"/>
          </w:tcPr>
          <w:p w:rsidR="00051275" w:rsidRPr="00483777" w:rsidRDefault="00483777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  <w:r w:rsidRPr="00483777">
              <w:rPr>
                <w:rFonts w:ascii="LindeDaxOffice_russian" w:hAnsi="LindeDaxOffice_russian"/>
                <w:lang w:val="en-US"/>
              </w:rPr>
              <w:t xml:space="preserve">Very difficult for transport companies to get such permits. </w:t>
            </w:r>
            <w:r w:rsidR="00BA7A7A">
              <w:rPr>
                <w:rFonts w:ascii="LindeDaxOffice_russian" w:hAnsi="LindeDaxOffice_russian"/>
                <w:lang w:val="en-US"/>
              </w:rPr>
              <w:t>This influences deliveries of our products to customers.</w:t>
            </w:r>
          </w:p>
        </w:tc>
      </w:tr>
      <w:tr w:rsidR="00483777" w:rsidRPr="00340855" w:rsidTr="008D498F">
        <w:tc>
          <w:tcPr>
            <w:tcW w:w="573" w:type="dxa"/>
          </w:tcPr>
          <w:p w:rsidR="00051275" w:rsidRPr="003A01E3" w:rsidRDefault="003A01E3" w:rsidP="00AD2B69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5</w:t>
            </w:r>
          </w:p>
        </w:tc>
        <w:tc>
          <w:tcPr>
            <w:tcW w:w="2187" w:type="dxa"/>
          </w:tcPr>
          <w:p w:rsidR="00051275" w:rsidRPr="003A01E3" w:rsidRDefault="003A01E3" w:rsidP="00340855">
            <w:pPr>
              <w:jc w:val="both"/>
              <w:rPr>
                <w:rFonts w:ascii="LindeDaxOffice_russian" w:hAnsi="LindeDaxOffice_russian"/>
              </w:rPr>
            </w:pPr>
            <w:r w:rsidRPr="003A01E3">
              <w:rPr>
                <w:rFonts w:ascii="LindeDaxOffice_russian" w:hAnsi="LindeDaxOffice_russian"/>
                <w:lang w:val="en-US"/>
              </w:rPr>
              <w:t>RF</w:t>
            </w:r>
            <w:r w:rsidRPr="003A01E3">
              <w:rPr>
                <w:rFonts w:ascii="LindeDaxOffice_russian" w:hAnsi="LindeDaxOffice_russian"/>
              </w:rPr>
              <w:t xml:space="preserve"> </w:t>
            </w:r>
            <w:r>
              <w:rPr>
                <w:rFonts w:ascii="LindeDaxOffice_russian" w:hAnsi="LindeDaxOffice_russian"/>
                <w:lang w:val="en-US"/>
              </w:rPr>
              <w:t>Government</w:t>
            </w:r>
            <w:r w:rsidRPr="003A01E3">
              <w:rPr>
                <w:rFonts w:ascii="LindeDaxOffice_russian" w:hAnsi="LindeDaxOffice_russian"/>
              </w:rPr>
              <w:t xml:space="preserve"> </w:t>
            </w:r>
          </w:p>
          <w:p w:rsidR="003A01E3" w:rsidRPr="009E574E" w:rsidRDefault="003A01E3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</w:p>
        </w:tc>
        <w:tc>
          <w:tcPr>
            <w:tcW w:w="3866" w:type="dxa"/>
          </w:tcPr>
          <w:p w:rsidR="009E574E" w:rsidRPr="009E574E" w:rsidRDefault="009E574E" w:rsidP="00340855">
            <w:pPr>
              <w:jc w:val="both"/>
              <w:rPr>
                <w:rFonts w:ascii="LindeDaxOffice_russian" w:hAnsi="LindeDaxOffice_russian"/>
                <w:lang w:val="en-US"/>
              </w:rPr>
            </w:pPr>
            <w:r w:rsidRPr="009E574E">
              <w:rPr>
                <w:rFonts w:ascii="LindeDaxOffice_russian" w:hAnsi="LindeDaxOffice_russian"/>
                <w:lang w:val="en-US"/>
              </w:rPr>
              <w:t xml:space="preserve">Ensure possibility to discharge vehicles if nearby there is a prohibition sign. </w:t>
            </w:r>
            <w:r>
              <w:rPr>
                <w:rFonts w:ascii="LindeDaxOffice_russian" w:hAnsi="LindeDaxOffice_russian"/>
                <w:lang w:val="en-US"/>
              </w:rPr>
              <w:t xml:space="preserve"> </w:t>
            </w:r>
          </w:p>
          <w:p w:rsidR="00051275" w:rsidRPr="00340855" w:rsidRDefault="00051275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</w:p>
        </w:tc>
        <w:tc>
          <w:tcPr>
            <w:tcW w:w="2945" w:type="dxa"/>
          </w:tcPr>
          <w:p w:rsidR="00051275" w:rsidRPr="009E574E" w:rsidRDefault="009E574E" w:rsidP="00340855">
            <w:pPr>
              <w:jc w:val="both"/>
              <w:rPr>
                <w:rFonts w:ascii="LindeDaxOffice_russian" w:hAnsi="LindeDaxOffice_russian" w:cs="Arial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 xml:space="preserve">Road police places prohibition signs as per requests of cities’ administrations. There is no general approach in placing such signs, which prohibits access to a customer. </w:t>
            </w:r>
          </w:p>
        </w:tc>
      </w:tr>
    </w:tbl>
    <w:p w:rsidR="000C7822" w:rsidRDefault="000C7822" w:rsidP="000C7822">
      <w:pPr>
        <w:pStyle w:val="2"/>
        <w:jc w:val="both"/>
        <w:rPr>
          <w:rFonts w:ascii="LindeDaxOffice_russian" w:hAnsi="LindeDaxOffice_russian"/>
          <w:color w:val="000000"/>
          <w:szCs w:val="22"/>
          <w:lang w:eastAsia="de-DE"/>
        </w:rPr>
      </w:pPr>
    </w:p>
    <w:p w:rsidR="000C7822" w:rsidRPr="00894EB3" w:rsidRDefault="000C7822" w:rsidP="000C7822">
      <w:pPr>
        <w:pStyle w:val="2"/>
        <w:jc w:val="both"/>
        <w:rPr>
          <w:rFonts w:ascii="LindeDaxOffice_russian" w:hAnsi="LindeDaxOffice_russian"/>
          <w:color w:val="000000"/>
          <w:szCs w:val="22"/>
          <w:lang w:eastAsia="de-DE"/>
        </w:rPr>
      </w:pPr>
      <w:r w:rsidRPr="00894EB3">
        <w:rPr>
          <w:rFonts w:ascii="LindeDaxOffice_russian" w:hAnsi="LindeDaxOffice_russian"/>
          <w:color w:val="000000"/>
          <w:szCs w:val="22"/>
          <w:lang w:eastAsia="de-DE"/>
        </w:rPr>
        <w:t>Signature:</w:t>
      </w:r>
    </w:p>
    <w:p w:rsidR="000C7822" w:rsidRPr="000C7822" w:rsidRDefault="000C7822" w:rsidP="000C7822">
      <w:pPr>
        <w:spacing w:after="0"/>
        <w:rPr>
          <w:rFonts w:ascii="LindeDaxOffice_russian" w:hAnsi="LindeDaxOffice_russian"/>
          <w:lang w:val="en-US" w:eastAsia="de-DE"/>
        </w:rPr>
      </w:pPr>
      <w:r w:rsidRPr="000C7822">
        <w:rPr>
          <w:rFonts w:ascii="LindeDaxOffice_russian" w:hAnsi="LindeDaxOffice_russian"/>
          <w:lang w:val="en-US" w:eastAsia="de-DE"/>
        </w:rPr>
        <w:t>Members of the Working group</w:t>
      </w:r>
    </w:p>
    <w:p w:rsidR="00051275" w:rsidRPr="009E574E" w:rsidRDefault="000C7822">
      <w:pPr>
        <w:spacing w:after="0" w:line="240" w:lineRule="auto"/>
        <w:rPr>
          <w:rFonts w:ascii="LindeDaxOffice_russian" w:hAnsi="LindeDaxOffice_russian"/>
          <w:lang w:val="en-US"/>
        </w:rPr>
      </w:pPr>
      <w:r w:rsidRPr="000C7822">
        <w:rPr>
          <w:rFonts w:ascii="LindeDaxOffice_russian" w:hAnsi="LindeDaxOffice_russian"/>
          <w:lang w:val="en-US"/>
        </w:rPr>
        <w:drawing>
          <wp:inline distT="0" distB="0" distL="0" distR="0">
            <wp:extent cx="5940425" cy="1810150"/>
            <wp:effectExtent l="19050" t="0" r="3175" b="0"/>
            <wp:docPr id="1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1275" w:rsidRPr="009E574E" w:rsidSect="000C782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panose1 w:val="020B0500000000020000"/>
    <w:charset w:val="CC"/>
    <w:family w:val="swiss"/>
    <w:pitch w:val="variable"/>
    <w:sig w:usb0="A000022F" w:usb1="5000000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2B14"/>
    <w:rsid w:val="00051275"/>
    <w:rsid w:val="000C7822"/>
    <w:rsid w:val="000F784F"/>
    <w:rsid w:val="00130307"/>
    <w:rsid w:val="00274C22"/>
    <w:rsid w:val="00340855"/>
    <w:rsid w:val="003A01E3"/>
    <w:rsid w:val="003D696C"/>
    <w:rsid w:val="003D7E83"/>
    <w:rsid w:val="00455245"/>
    <w:rsid w:val="00483777"/>
    <w:rsid w:val="004874E6"/>
    <w:rsid w:val="00522CB7"/>
    <w:rsid w:val="005B1D5F"/>
    <w:rsid w:val="008D1FB0"/>
    <w:rsid w:val="008D498F"/>
    <w:rsid w:val="009723A0"/>
    <w:rsid w:val="009E574E"/>
    <w:rsid w:val="00A21B98"/>
    <w:rsid w:val="00A42B14"/>
    <w:rsid w:val="00A80A24"/>
    <w:rsid w:val="00B75BCE"/>
    <w:rsid w:val="00BA7A7A"/>
    <w:rsid w:val="00CB00DA"/>
    <w:rsid w:val="00D320C6"/>
    <w:rsid w:val="00D870D6"/>
    <w:rsid w:val="00D960E7"/>
    <w:rsid w:val="00EF34C9"/>
    <w:rsid w:val="00F34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E6"/>
  </w:style>
  <w:style w:type="paragraph" w:styleId="2">
    <w:name w:val="heading 2"/>
    <w:basedOn w:val="a"/>
    <w:next w:val="a"/>
    <w:link w:val="20"/>
    <w:qFormat/>
    <w:rsid w:val="000C7822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/>
      <w:i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0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085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C7822"/>
    <w:rPr>
      <w:rFonts w:ascii="Arial" w:eastAsia="Times New Roman" w:hAnsi="Arial" w:cs="Arial"/>
      <w:b/>
      <w:bCs/>
      <w:i/>
      <w:iCs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Nadezhda Mischenko</cp:lastModifiedBy>
  <cp:revision>4</cp:revision>
  <dcterms:created xsi:type="dcterms:W3CDTF">2015-02-27T09:41:00Z</dcterms:created>
  <dcterms:modified xsi:type="dcterms:W3CDTF">2016-05-25T13:11:00Z</dcterms:modified>
</cp:coreProperties>
</file>