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AC" w:rsidRDefault="00087DAC" w:rsidP="008E516C">
      <w:pPr>
        <w:spacing w:after="0" w:line="240" w:lineRule="auto"/>
        <w:jc w:val="center"/>
        <w:rPr>
          <w:rFonts w:ascii="LindeDaxOffice_russian" w:hAnsi="LindeDaxOffice_russian"/>
          <w:sz w:val="28"/>
          <w:szCs w:val="28"/>
          <w:lang w:val="en-US"/>
        </w:rPr>
      </w:pPr>
      <w:r w:rsidRPr="00087DAC">
        <w:rPr>
          <w:rFonts w:ascii="LindeDaxOffice_russian" w:hAnsi="LindeDaxOffice_russian"/>
          <w:sz w:val="28"/>
          <w:szCs w:val="28"/>
          <w:lang w:val="en-US"/>
        </w:rPr>
        <w:drawing>
          <wp:inline distT="0" distB="0" distL="0" distR="0">
            <wp:extent cx="5940425" cy="990071"/>
            <wp:effectExtent l="19050" t="0" r="3175" b="0"/>
            <wp:docPr id="2" name="Рисунок 2" descr="D:\Юрисконсульт\Corporation\Ассоциация_APIMG\План сайта, логотип\Логотип\2016\Approval logo\Утвердить на собрании 30_03_2016\Updated\Letter head_A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Юрисконсульт\Corporation\Ассоциация_APIMG\План сайта, логотип\Логотип\2016\Approval logo\Утвердить на собрании 30_03_2016\Updated\Letter head_APIMG.PNG"/>
                    <pic:cNvPicPr>
                      <a:picLocks noChangeAspect="1" noChangeArrowheads="1"/>
                    </pic:cNvPicPr>
                  </pic:nvPicPr>
                  <pic:blipFill>
                    <a:blip r:embed="rId4" cstate="print"/>
                    <a:srcRect/>
                    <a:stretch>
                      <a:fillRect/>
                    </a:stretch>
                  </pic:blipFill>
                  <pic:spPr bwMode="auto">
                    <a:xfrm>
                      <a:off x="0" y="0"/>
                      <a:ext cx="5940425" cy="990071"/>
                    </a:xfrm>
                    <a:prstGeom prst="rect">
                      <a:avLst/>
                    </a:prstGeom>
                    <a:noFill/>
                    <a:ln w="9525">
                      <a:noFill/>
                      <a:miter lim="800000"/>
                      <a:headEnd/>
                      <a:tailEnd/>
                    </a:ln>
                  </pic:spPr>
                </pic:pic>
              </a:graphicData>
            </a:graphic>
          </wp:inline>
        </w:drawing>
      </w:r>
    </w:p>
    <w:p w:rsidR="00D13AE2" w:rsidRPr="00D13AE2" w:rsidRDefault="00D13AE2" w:rsidP="00D13AE2">
      <w:pPr>
        <w:spacing w:after="0" w:line="240" w:lineRule="auto"/>
        <w:jc w:val="center"/>
        <w:rPr>
          <w:rFonts w:ascii="LindeDaxOffice_russian" w:hAnsi="LindeDaxOffice_russian" w:cs="Times New Roman"/>
          <w:b/>
          <w:sz w:val="24"/>
          <w:szCs w:val="24"/>
          <w:lang w:val="en-US"/>
        </w:rPr>
      </w:pPr>
      <w:r w:rsidRPr="00D13AE2">
        <w:rPr>
          <w:rFonts w:ascii="LindeDaxOffice_russian" w:hAnsi="LindeDaxOffice_russian" w:cs="Times New Roman"/>
          <w:b/>
          <w:sz w:val="24"/>
          <w:szCs w:val="24"/>
          <w:lang w:val="en-US"/>
        </w:rPr>
        <w:t xml:space="preserve">WORKING PROGRAM </w:t>
      </w:r>
    </w:p>
    <w:p w:rsidR="00D13AE2" w:rsidRPr="00D13AE2" w:rsidRDefault="00D13AE2" w:rsidP="00D13AE2">
      <w:pPr>
        <w:spacing w:after="0" w:line="240" w:lineRule="auto"/>
        <w:jc w:val="center"/>
        <w:rPr>
          <w:rFonts w:ascii="LindeDaxOffice_russian" w:hAnsi="LindeDaxOffice_russian" w:cs="Times New Roman"/>
          <w:b/>
          <w:sz w:val="24"/>
          <w:szCs w:val="24"/>
          <w:lang w:val="en-US"/>
        </w:rPr>
      </w:pPr>
    </w:p>
    <w:p w:rsidR="00D13AE2" w:rsidRPr="00D13AE2" w:rsidRDefault="00D13AE2" w:rsidP="00D13AE2">
      <w:pPr>
        <w:spacing w:after="0" w:line="240" w:lineRule="auto"/>
        <w:jc w:val="center"/>
        <w:rPr>
          <w:rFonts w:ascii="LindeDaxOffice_russian" w:hAnsi="LindeDaxOffice_russian" w:cs="Times New Roman"/>
          <w:b/>
          <w:sz w:val="24"/>
          <w:szCs w:val="24"/>
          <w:lang w:val="en-US"/>
        </w:rPr>
      </w:pPr>
      <w:r w:rsidRPr="00D13AE2">
        <w:rPr>
          <w:rFonts w:ascii="LindeDaxOffice_russian" w:hAnsi="LindeDaxOffice_russian" w:cs="Times New Roman"/>
          <w:b/>
          <w:sz w:val="24"/>
          <w:szCs w:val="24"/>
          <w:lang w:val="en-US"/>
        </w:rPr>
        <w:t xml:space="preserve">OF </w:t>
      </w:r>
      <w:r w:rsidR="00AF70D9">
        <w:rPr>
          <w:rFonts w:ascii="LindeDaxOffice_russian" w:hAnsi="LindeDaxOffice_russian" w:cs="Times New Roman"/>
          <w:b/>
          <w:sz w:val="24"/>
          <w:szCs w:val="24"/>
          <w:lang w:val="en-US"/>
        </w:rPr>
        <w:t>MRDICAL GASES</w:t>
      </w:r>
      <w:r w:rsidR="002F259D" w:rsidRPr="008E516C">
        <w:rPr>
          <w:rFonts w:ascii="LindeDaxOffice_russian" w:hAnsi="LindeDaxOffice_russian"/>
          <w:sz w:val="28"/>
          <w:szCs w:val="28"/>
          <w:lang w:val="en-US"/>
        </w:rPr>
        <w:t xml:space="preserve"> </w:t>
      </w:r>
      <w:r w:rsidRPr="00D13AE2">
        <w:rPr>
          <w:rFonts w:ascii="LindeDaxOffice_russian" w:hAnsi="LindeDaxOffice_russian" w:cs="Times New Roman"/>
          <w:b/>
          <w:sz w:val="24"/>
          <w:szCs w:val="24"/>
          <w:lang w:val="en-US"/>
        </w:rPr>
        <w:t xml:space="preserve">WORKING GROUP </w:t>
      </w:r>
    </w:p>
    <w:p w:rsidR="00D13AE2" w:rsidRPr="002F259D" w:rsidRDefault="00D13AE2" w:rsidP="00D13AE2">
      <w:pPr>
        <w:spacing w:after="0" w:line="240" w:lineRule="auto"/>
        <w:jc w:val="center"/>
        <w:rPr>
          <w:rFonts w:ascii="LindeDaxOffice_russian" w:hAnsi="LindeDaxOffice_russian" w:cs="Times New Roman"/>
          <w:b/>
          <w:sz w:val="24"/>
          <w:szCs w:val="24"/>
          <w:lang w:val="en-US"/>
        </w:rPr>
      </w:pPr>
      <w:r w:rsidRPr="00D13AE2">
        <w:rPr>
          <w:rFonts w:ascii="LindeDaxOffice_russian" w:hAnsi="LindeDaxOffice_russian" w:cs="Times New Roman"/>
          <w:b/>
          <w:sz w:val="24"/>
          <w:szCs w:val="24"/>
          <w:lang w:val="en-US"/>
        </w:rPr>
        <w:t>OF ASSOCIATION OF INDUSTRIAL AND MEDICAL GASES PRODUCERS ON 201</w:t>
      </w:r>
      <w:r w:rsidR="002F259D">
        <w:rPr>
          <w:rFonts w:ascii="LindeDaxOffice_russian" w:hAnsi="LindeDaxOffice_russian" w:cs="Times New Roman"/>
          <w:b/>
          <w:sz w:val="24"/>
          <w:szCs w:val="24"/>
          <w:lang w:val="en-US"/>
        </w:rPr>
        <w:t>5</w:t>
      </w:r>
      <w:r w:rsidR="002F259D" w:rsidRPr="002F259D">
        <w:rPr>
          <w:rFonts w:ascii="LindeDaxOffice_russian" w:hAnsi="LindeDaxOffice_russian" w:cs="Times New Roman"/>
          <w:b/>
          <w:sz w:val="24"/>
          <w:szCs w:val="24"/>
          <w:lang w:val="en-US"/>
        </w:rPr>
        <w:t>-2016</w:t>
      </w:r>
    </w:p>
    <w:p w:rsidR="00A42B14" w:rsidRPr="00130307" w:rsidRDefault="00130307" w:rsidP="00653052">
      <w:pPr>
        <w:spacing w:after="0" w:line="240" w:lineRule="auto"/>
        <w:jc w:val="center"/>
        <w:rPr>
          <w:rFonts w:ascii="LindeDaxOffice_russian" w:hAnsi="LindeDaxOffice_russian"/>
          <w:lang w:val="en-US"/>
        </w:rPr>
      </w:pPr>
      <w:r w:rsidRPr="008E516C">
        <w:rPr>
          <w:rFonts w:ascii="LindeDaxOffice_russian" w:hAnsi="LindeDaxOffice_russian"/>
          <w:sz w:val="28"/>
          <w:szCs w:val="28"/>
          <w:lang w:val="en-US"/>
        </w:rPr>
        <w:t xml:space="preserve"> </w:t>
      </w:r>
    </w:p>
    <w:tbl>
      <w:tblPr>
        <w:tblStyle w:val="a3"/>
        <w:tblW w:w="0" w:type="auto"/>
        <w:tblLook w:val="04A0"/>
      </w:tblPr>
      <w:tblGrid>
        <w:gridCol w:w="573"/>
        <w:gridCol w:w="2831"/>
        <w:gridCol w:w="6167"/>
      </w:tblGrid>
      <w:tr w:rsidR="00A80A24" w:rsidRPr="00A80A24" w:rsidTr="00A80A24">
        <w:tc>
          <w:tcPr>
            <w:tcW w:w="573" w:type="dxa"/>
          </w:tcPr>
          <w:p w:rsidR="00A80A24" w:rsidRPr="00A80A24" w:rsidRDefault="00A80A24" w:rsidP="00AA2DC2">
            <w:pPr>
              <w:jc w:val="center"/>
              <w:rPr>
                <w:rFonts w:ascii="LindeDaxOffice_russian" w:hAnsi="LindeDaxOffice_russian"/>
              </w:rPr>
            </w:pPr>
            <w:r w:rsidRPr="00A80A24">
              <w:rPr>
                <w:rFonts w:ascii="LindeDaxOffice_russian" w:hAnsi="LindeDaxOffice_russian"/>
              </w:rPr>
              <w:t xml:space="preserve">№ </w:t>
            </w:r>
            <w:proofErr w:type="gramStart"/>
            <w:r w:rsidRPr="00A80A24">
              <w:rPr>
                <w:rFonts w:ascii="LindeDaxOffice_russian" w:hAnsi="LindeDaxOffice_russian"/>
              </w:rPr>
              <w:t>п</w:t>
            </w:r>
            <w:proofErr w:type="gramEnd"/>
            <w:r w:rsidRPr="00A80A24">
              <w:rPr>
                <w:rFonts w:ascii="LindeDaxOffice_russian" w:hAnsi="LindeDaxOffice_russian"/>
              </w:rPr>
              <w:t>/п</w:t>
            </w:r>
          </w:p>
        </w:tc>
        <w:tc>
          <w:tcPr>
            <w:tcW w:w="2831" w:type="dxa"/>
            <w:vAlign w:val="center"/>
          </w:tcPr>
          <w:p w:rsidR="00A80A24" w:rsidRPr="00130307" w:rsidRDefault="00130307" w:rsidP="00A80A24">
            <w:pPr>
              <w:jc w:val="center"/>
              <w:rPr>
                <w:rFonts w:ascii="LindeDaxOffice_russian" w:hAnsi="LindeDaxOffice_russian"/>
                <w:lang w:val="en-US"/>
              </w:rPr>
            </w:pPr>
            <w:r>
              <w:rPr>
                <w:rFonts w:ascii="LindeDaxOffice_russian" w:hAnsi="LindeDaxOffice_russian"/>
                <w:lang w:val="en-US"/>
              </w:rPr>
              <w:t>Topic</w:t>
            </w:r>
          </w:p>
        </w:tc>
        <w:tc>
          <w:tcPr>
            <w:tcW w:w="6167" w:type="dxa"/>
            <w:vAlign w:val="center"/>
          </w:tcPr>
          <w:p w:rsidR="00A80A24" w:rsidRPr="00130307" w:rsidRDefault="00130307" w:rsidP="00A80A24">
            <w:pPr>
              <w:jc w:val="center"/>
              <w:rPr>
                <w:rFonts w:ascii="LindeDaxOffice_russian" w:hAnsi="LindeDaxOffice_russian"/>
                <w:lang w:val="en-US"/>
              </w:rPr>
            </w:pPr>
            <w:r>
              <w:rPr>
                <w:rFonts w:ascii="LindeDaxOffice_russian" w:hAnsi="LindeDaxOffice_russian"/>
                <w:lang w:val="en-US"/>
              </w:rPr>
              <w:t>Description</w:t>
            </w:r>
          </w:p>
        </w:tc>
      </w:tr>
      <w:tr w:rsidR="00A80A24" w:rsidRPr="00087DAC" w:rsidTr="00A80A24">
        <w:tc>
          <w:tcPr>
            <w:tcW w:w="573" w:type="dxa"/>
          </w:tcPr>
          <w:p w:rsidR="00A80A24" w:rsidRPr="008E516C" w:rsidRDefault="00A80A24" w:rsidP="00AD2B69">
            <w:pPr>
              <w:jc w:val="center"/>
              <w:rPr>
                <w:rFonts w:ascii="LindeDaxOffice_russian" w:hAnsi="LindeDaxOffice_russian"/>
                <w:sz w:val="24"/>
                <w:szCs w:val="24"/>
              </w:rPr>
            </w:pPr>
            <w:r w:rsidRPr="008E516C">
              <w:rPr>
                <w:rFonts w:ascii="LindeDaxOffice_russian" w:hAnsi="LindeDaxOffice_russian"/>
                <w:sz w:val="24"/>
                <w:szCs w:val="24"/>
              </w:rPr>
              <w:t>1</w:t>
            </w:r>
          </w:p>
        </w:tc>
        <w:tc>
          <w:tcPr>
            <w:tcW w:w="2831" w:type="dxa"/>
          </w:tcPr>
          <w:p w:rsidR="00A80A24" w:rsidRPr="008E516C" w:rsidRDefault="00130307" w:rsidP="00F55F5D">
            <w:pPr>
              <w:rPr>
                <w:rFonts w:ascii="LindeDaxOffice_russian" w:hAnsi="LindeDaxOffice_russian"/>
                <w:sz w:val="24"/>
                <w:szCs w:val="24"/>
                <w:lang w:val="en-US"/>
              </w:rPr>
            </w:pPr>
            <w:r w:rsidRPr="008E516C">
              <w:rPr>
                <w:rFonts w:ascii="LindeDaxOffice_russian" w:hAnsi="LindeDaxOffice_russian"/>
                <w:sz w:val="24"/>
                <w:szCs w:val="24"/>
                <w:lang w:val="en-US"/>
              </w:rPr>
              <w:t>Cooperation with Ministry of Health Care</w:t>
            </w:r>
          </w:p>
        </w:tc>
        <w:tc>
          <w:tcPr>
            <w:tcW w:w="6167" w:type="dxa"/>
          </w:tcPr>
          <w:p w:rsidR="00A80A24" w:rsidRPr="008E516C" w:rsidRDefault="00B75BCE" w:rsidP="008E516C">
            <w:pPr>
              <w:jc w:val="both"/>
              <w:rPr>
                <w:rFonts w:ascii="LindeDaxOffice_russian" w:hAnsi="LindeDaxOffice_russian" w:cs="Arial"/>
                <w:sz w:val="24"/>
                <w:szCs w:val="24"/>
                <w:lang w:val="en-US"/>
              </w:rPr>
            </w:pPr>
            <w:r w:rsidRPr="008E516C">
              <w:rPr>
                <w:rFonts w:ascii="LindeDaxOffice_russian" w:hAnsi="LindeDaxOffice_russian" w:cs="Arial"/>
                <w:sz w:val="24"/>
                <w:szCs w:val="24"/>
                <w:lang w:val="en-US"/>
              </w:rPr>
              <w:t>Initiate dialog between representatives of Medical Gases workgroup and national Pharmacopoeia committee of Ministry of Health Care to propose to include Monographs for medical gases into the State Pharmacopoeia of Russia in order to harmonize European and local approaches to quality control of medical gases</w:t>
            </w:r>
          </w:p>
        </w:tc>
      </w:tr>
      <w:tr w:rsidR="00A80A24" w:rsidRPr="00087DAC" w:rsidTr="00A80A24">
        <w:tc>
          <w:tcPr>
            <w:tcW w:w="573" w:type="dxa"/>
          </w:tcPr>
          <w:p w:rsidR="00A80A24" w:rsidRPr="008E516C" w:rsidRDefault="00A80A24" w:rsidP="00AD2B69">
            <w:pPr>
              <w:jc w:val="center"/>
              <w:rPr>
                <w:rFonts w:ascii="LindeDaxOffice_russian" w:hAnsi="LindeDaxOffice_russian"/>
                <w:sz w:val="24"/>
                <w:szCs w:val="24"/>
              </w:rPr>
            </w:pPr>
            <w:r w:rsidRPr="008E516C">
              <w:rPr>
                <w:rFonts w:ascii="LindeDaxOffice_russian" w:hAnsi="LindeDaxOffice_russian"/>
                <w:sz w:val="24"/>
                <w:szCs w:val="24"/>
              </w:rPr>
              <w:t>2</w:t>
            </w:r>
          </w:p>
        </w:tc>
        <w:tc>
          <w:tcPr>
            <w:tcW w:w="2831" w:type="dxa"/>
          </w:tcPr>
          <w:p w:rsidR="00A80A24" w:rsidRPr="008E516C" w:rsidRDefault="00130307" w:rsidP="00130307">
            <w:pPr>
              <w:rPr>
                <w:rFonts w:ascii="LindeDaxOffice_russian" w:hAnsi="LindeDaxOffice_russian"/>
                <w:sz w:val="24"/>
                <w:szCs w:val="24"/>
                <w:lang w:val="en-US"/>
              </w:rPr>
            </w:pPr>
            <w:r w:rsidRPr="008E516C">
              <w:rPr>
                <w:rFonts w:ascii="LindeDaxOffice_russian" w:hAnsi="LindeDaxOffice_russian"/>
                <w:sz w:val="24"/>
                <w:szCs w:val="24"/>
                <w:lang w:val="en-US"/>
              </w:rPr>
              <w:t>Cooperation with Ministry of Trade and Industry</w:t>
            </w:r>
          </w:p>
        </w:tc>
        <w:tc>
          <w:tcPr>
            <w:tcW w:w="6167" w:type="dxa"/>
          </w:tcPr>
          <w:p w:rsidR="00A80A24" w:rsidRPr="008E516C" w:rsidRDefault="00B75BCE" w:rsidP="008E516C">
            <w:pPr>
              <w:jc w:val="both"/>
              <w:rPr>
                <w:rFonts w:ascii="LindeDaxOffice_russian" w:hAnsi="LindeDaxOffice_russian"/>
                <w:sz w:val="24"/>
                <w:szCs w:val="24"/>
                <w:lang w:val="en-US"/>
              </w:rPr>
            </w:pPr>
            <w:r w:rsidRPr="008E516C">
              <w:rPr>
                <w:rFonts w:ascii="LindeDaxOffice_russian" w:hAnsi="LindeDaxOffice_russian" w:cs="Arial"/>
                <w:sz w:val="24"/>
                <w:szCs w:val="24"/>
                <w:lang w:val="en-US"/>
              </w:rPr>
              <w:t>Initiate dialog between representatives of Medical Gases workgroup and Department of development of pharmaceutical and medical production of Ministry of Trade and Industry to propose to take into account specific character of medical gases production and make changes into the state standards and licensing requirements (GMP of medical gases)</w:t>
            </w:r>
          </w:p>
        </w:tc>
      </w:tr>
      <w:tr w:rsidR="00A80A24" w:rsidRPr="00087DAC" w:rsidTr="00A80A24">
        <w:tc>
          <w:tcPr>
            <w:tcW w:w="573" w:type="dxa"/>
          </w:tcPr>
          <w:p w:rsidR="00A80A24" w:rsidRPr="008E516C" w:rsidRDefault="00A80A24" w:rsidP="00AD2B69">
            <w:pPr>
              <w:jc w:val="center"/>
              <w:rPr>
                <w:rFonts w:ascii="LindeDaxOffice_russian" w:hAnsi="LindeDaxOffice_russian"/>
                <w:sz w:val="24"/>
                <w:szCs w:val="24"/>
              </w:rPr>
            </w:pPr>
            <w:r w:rsidRPr="008E516C">
              <w:rPr>
                <w:rFonts w:ascii="LindeDaxOffice_russian" w:hAnsi="LindeDaxOffice_russian"/>
                <w:sz w:val="24"/>
                <w:szCs w:val="24"/>
              </w:rPr>
              <w:t>3</w:t>
            </w:r>
          </w:p>
        </w:tc>
        <w:tc>
          <w:tcPr>
            <w:tcW w:w="2831" w:type="dxa"/>
          </w:tcPr>
          <w:p w:rsidR="00A80A24" w:rsidRPr="008E516C" w:rsidRDefault="00130307" w:rsidP="00130307">
            <w:pPr>
              <w:rPr>
                <w:rFonts w:ascii="LindeDaxOffice_russian" w:hAnsi="LindeDaxOffice_russian"/>
                <w:sz w:val="24"/>
                <w:szCs w:val="24"/>
                <w:lang w:val="en-US"/>
              </w:rPr>
            </w:pPr>
            <w:r w:rsidRPr="008E516C">
              <w:rPr>
                <w:rFonts w:ascii="LindeDaxOffice_russian" w:hAnsi="LindeDaxOffice_russian"/>
                <w:sz w:val="24"/>
                <w:szCs w:val="24"/>
                <w:lang w:val="en-US"/>
              </w:rPr>
              <w:t>Cooperation with Roszdravnadzor</w:t>
            </w:r>
          </w:p>
        </w:tc>
        <w:tc>
          <w:tcPr>
            <w:tcW w:w="6167" w:type="dxa"/>
          </w:tcPr>
          <w:p w:rsidR="00A80A24" w:rsidRPr="008E516C" w:rsidRDefault="00130307" w:rsidP="00B75BCE">
            <w:pPr>
              <w:rPr>
                <w:rFonts w:ascii="LindeDaxOffice_russian" w:hAnsi="LindeDaxOffice_russian"/>
                <w:sz w:val="24"/>
                <w:szCs w:val="24"/>
                <w:lang w:val="en-US"/>
              </w:rPr>
            </w:pPr>
            <w:r w:rsidRPr="008E516C">
              <w:rPr>
                <w:rFonts w:ascii="LindeDaxOffice_russian" w:hAnsi="LindeDaxOffice_russian" w:cs="Arial"/>
                <w:sz w:val="24"/>
                <w:szCs w:val="24"/>
                <w:lang w:val="en-US"/>
              </w:rPr>
              <w:t xml:space="preserve">Initiate dialog between representatives of Medical Gases workgroup and Roszdravnadzor (Russian Drug Agency) to propose to take part in the development of new and update of existing regulations concerning distribution and quality of medical gases </w:t>
            </w:r>
            <w:r w:rsidR="00B75BCE" w:rsidRPr="008E516C">
              <w:rPr>
                <w:rFonts w:ascii="LindeDaxOffice_russian" w:hAnsi="LindeDaxOffice_russian" w:cs="Arial"/>
                <w:sz w:val="24"/>
                <w:szCs w:val="24"/>
                <w:lang w:val="en-US"/>
              </w:rPr>
              <w:t>in order to</w:t>
            </w:r>
            <w:r w:rsidR="00A80A24" w:rsidRPr="008E516C">
              <w:rPr>
                <w:rFonts w:ascii="LindeDaxOffice_russian" w:hAnsi="LindeDaxOffice_russian" w:cs="Arial"/>
                <w:sz w:val="24"/>
                <w:szCs w:val="24"/>
                <w:lang w:val="en-US"/>
              </w:rPr>
              <w:t xml:space="preserve"> </w:t>
            </w:r>
            <w:r w:rsidRPr="008E516C">
              <w:rPr>
                <w:rFonts w:ascii="LindeDaxOffice_russian" w:hAnsi="LindeDaxOffice_russian" w:cs="Arial"/>
                <w:sz w:val="24"/>
                <w:szCs w:val="24"/>
                <w:lang w:val="en-US"/>
              </w:rPr>
              <w:t>fight against unreliable suppliers</w:t>
            </w:r>
            <w:r w:rsidR="00B75BCE" w:rsidRPr="008E516C">
              <w:rPr>
                <w:rFonts w:ascii="LindeDaxOffice_russian" w:hAnsi="LindeDaxOffice_russian" w:cs="Arial"/>
                <w:sz w:val="24"/>
                <w:szCs w:val="24"/>
                <w:lang w:val="en-US"/>
              </w:rPr>
              <w:t xml:space="preserve"> and violations of governmental requirements</w:t>
            </w:r>
          </w:p>
        </w:tc>
      </w:tr>
      <w:tr w:rsidR="00A80A24" w:rsidRPr="00087DAC" w:rsidTr="00653052">
        <w:tc>
          <w:tcPr>
            <w:tcW w:w="573" w:type="dxa"/>
            <w:tcBorders>
              <w:bottom w:val="single" w:sz="4" w:space="0" w:color="000000" w:themeColor="text1"/>
            </w:tcBorders>
          </w:tcPr>
          <w:p w:rsidR="00A80A24" w:rsidRPr="008E516C" w:rsidRDefault="00A80A24" w:rsidP="00AD2B69">
            <w:pPr>
              <w:jc w:val="center"/>
              <w:rPr>
                <w:rFonts w:ascii="LindeDaxOffice_russian" w:hAnsi="LindeDaxOffice_russian"/>
                <w:sz w:val="24"/>
                <w:szCs w:val="24"/>
              </w:rPr>
            </w:pPr>
            <w:r w:rsidRPr="008E516C">
              <w:rPr>
                <w:rFonts w:ascii="LindeDaxOffice_russian" w:hAnsi="LindeDaxOffice_russian"/>
                <w:sz w:val="24"/>
                <w:szCs w:val="24"/>
              </w:rPr>
              <w:t>4</w:t>
            </w:r>
          </w:p>
        </w:tc>
        <w:tc>
          <w:tcPr>
            <w:tcW w:w="2831" w:type="dxa"/>
            <w:tcBorders>
              <w:bottom w:val="single" w:sz="4" w:space="0" w:color="000000" w:themeColor="text1"/>
            </w:tcBorders>
          </w:tcPr>
          <w:p w:rsidR="00A80A24" w:rsidRPr="008E516C" w:rsidRDefault="00130307" w:rsidP="00A42B14">
            <w:pPr>
              <w:rPr>
                <w:rFonts w:ascii="LindeDaxOffice_russian" w:hAnsi="LindeDaxOffice_russian"/>
                <w:sz w:val="24"/>
                <w:szCs w:val="24"/>
                <w:lang w:val="en-US"/>
              </w:rPr>
            </w:pPr>
            <w:r w:rsidRPr="008E516C">
              <w:rPr>
                <w:rFonts w:ascii="LindeDaxOffice_russian" w:hAnsi="LindeDaxOffice_russian"/>
                <w:sz w:val="24"/>
                <w:szCs w:val="24"/>
                <w:lang w:val="en-US"/>
              </w:rPr>
              <w:t>Experience exchange</w:t>
            </w:r>
          </w:p>
        </w:tc>
        <w:tc>
          <w:tcPr>
            <w:tcW w:w="6167" w:type="dxa"/>
            <w:tcBorders>
              <w:bottom w:val="single" w:sz="4" w:space="0" w:color="000000" w:themeColor="text1"/>
            </w:tcBorders>
          </w:tcPr>
          <w:p w:rsidR="00A80A24" w:rsidRPr="008E516C" w:rsidRDefault="00130307" w:rsidP="00F55F5D">
            <w:pPr>
              <w:rPr>
                <w:rFonts w:ascii="LindeDaxOffice_russian" w:hAnsi="LindeDaxOffice_russian" w:cs="Arial"/>
                <w:sz w:val="24"/>
                <w:szCs w:val="24"/>
                <w:lang w:val="en-US"/>
              </w:rPr>
            </w:pPr>
            <w:r w:rsidRPr="008E516C">
              <w:rPr>
                <w:rFonts w:ascii="LindeDaxOffice_russian" w:hAnsi="LindeDaxOffice_russian" w:cs="Arial"/>
                <w:sz w:val="24"/>
                <w:szCs w:val="24"/>
                <w:lang w:val="en-US"/>
              </w:rPr>
              <w:t>Discussion of regulatory issues and new</w:t>
            </w:r>
            <w:r w:rsidR="00B75BCE" w:rsidRPr="008E516C">
              <w:rPr>
                <w:rFonts w:ascii="LindeDaxOffice_russian" w:hAnsi="LindeDaxOffice_russian" w:cs="Arial"/>
                <w:sz w:val="24"/>
                <w:szCs w:val="24"/>
                <w:lang w:val="en-US"/>
              </w:rPr>
              <w:t xml:space="preserve"> national</w:t>
            </w:r>
            <w:r w:rsidRPr="008E516C">
              <w:rPr>
                <w:rFonts w:ascii="LindeDaxOffice_russian" w:hAnsi="LindeDaxOffice_russian" w:cs="Arial"/>
                <w:sz w:val="24"/>
                <w:szCs w:val="24"/>
                <w:lang w:val="en-US"/>
              </w:rPr>
              <w:t xml:space="preserve"> standards applicable </w:t>
            </w:r>
            <w:r w:rsidR="00B75BCE" w:rsidRPr="008E516C">
              <w:rPr>
                <w:rFonts w:ascii="LindeDaxOffice_russian" w:hAnsi="LindeDaxOffice_russian" w:cs="Arial"/>
                <w:sz w:val="24"/>
                <w:szCs w:val="24"/>
                <w:lang w:val="en-US"/>
              </w:rPr>
              <w:t>for medical gases and equipment, best practices in medical compliance, exchange of pharmacovigilance</w:t>
            </w:r>
            <w:bookmarkStart w:id="0" w:name="_GoBack"/>
            <w:bookmarkEnd w:id="0"/>
            <w:r w:rsidR="00B75BCE" w:rsidRPr="008E516C">
              <w:rPr>
                <w:rFonts w:ascii="LindeDaxOffice_russian" w:hAnsi="LindeDaxOffice_russian" w:cs="Arial"/>
                <w:sz w:val="24"/>
                <w:szCs w:val="24"/>
                <w:lang w:val="en-US"/>
              </w:rPr>
              <w:t xml:space="preserve"> data</w:t>
            </w:r>
          </w:p>
        </w:tc>
      </w:tr>
      <w:tr w:rsidR="00653052" w:rsidRPr="00087DAC" w:rsidTr="00653052">
        <w:tc>
          <w:tcPr>
            <w:tcW w:w="9571" w:type="dxa"/>
            <w:gridSpan w:val="3"/>
            <w:tcBorders>
              <w:left w:val="nil"/>
              <w:bottom w:val="nil"/>
              <w:right w:val="nil"/>
            </w:tcBorders>
          </w:tcPr>
          <w:p w:rsidR="00653052" w:rsidRDefault="00653052" w:rsidP="00653052">
            <w:pPr>
              <w:pStyle w:val="2"/>
              <w:jc w:val="both"/>
              <w:outlineLvl w:val="1"/>
              <w:rPr>
                <w:rFonts w:ascii="LindeDaxOffice_russian" w:hAnsi="LindeDaxOffice_russian"/>
                <w:color w:val="000000"/>
                <w:szCs w:val="22"/>
                <w:lang w:eastAsia="de-DE"/>
              </w:rPr>
            </w:pPr>
          </w:p>
          <w:p w:rsidR="00653052" w:rsidRPr="00894EB3" w:rsidRDefault="00653052" w:rsidP="00653052">
            <w:pPr>
              <w:pStyle w:val="2"/>
              <w:jc w:val="both"/>
              <w:outlineLvl w:val="1"/>
              <w:rPr>
                <w:rFonts w:ascii="LindeDaxOffice_russian" w:hAnsi="LindeDaxOffice_russian"/>
                <w:color w:val="000000"/>
                <w:szCs w:val="22"/>
                <w:lang w:eastAsia="de-DE"/>
              </w:rPr>
            </w:pPr>
            <w:r w:rsidRPr="00894EB3">
              <w:rPr>
                <w:rFonts w:ascii="LindeDaxOffice_russian" w:hAnsi="LindeDaxOffice_russian"/>
                <w:color w:val="000000"/>
                <w:szCs w:val="22"/>
                <w:lang w:eastAsia="de-DE"/>
              </w:rPr>
              <w:t>Signature:</w:t>
            </w:r>
          </w:p>
          <w:p w:rsidR="00653052" w:rsidRPr="00653052" w:rsidRDefault="00653052" w:rsidP="00653052">
            <w:pPr>
              <w:rPr>
                <w:rFonts w:ascii="LindeDaxOffice_russian" w:hAnsi="LindeDaxOffice_russian"/>
                <w:lang w:val="en-US" w:eastAsia="de-DE"/>
              </w:rPr>
            </w:pPr>
            <w:r w:rsidRPr="00653052">
              <w:rPr>
                <w:rFonts w:ascii="LindeDaxOffice_russian" w:hAnsi="LindeDaxOffice_russian"/>
                <w:lang w:val="en-US" w:eastAsia="de-DE"/>
              </w:rPr>
              <w:t>Members of the Working group</w:t>
            </w:r>
          </w:p>
          <w:p w:rsidR="00653052" w:rsidRPr="008E516C" w:rsidRDefault="00653052" w:rsidP="00F55F5D">
            <w:pPr>
              <w:rPr>
                <w:rFonts w:ascii="LindeDaxOffice_russian" w:hAnsi="LindeDaxOffice_russian" w:cs="Arial"/>
                <w:sz w:val="24"/>
                <w:szCs w:val="24"/>
                <w:lang w:val="en-US"/>
              </w:rPr>
            </w:pPr>
          </w:p>
        </w:tc>
      </w:tr>
    </w:tbl>
    <w:p w:rsidR="00A42B14" w:rsidRPr="00B75BCE" w:rsidRDefault="00D13AE2" w:rsidP="00A42B14">
      <w:pPr>
        <w:spacing w:after="0" w:line="240" w:lineRule="auto"/>
        <w:rPr>
          <w:rFonts w:ascii="LindeDaxOffice_russian" w:hAnsi="LindeDaxOffice_russian"/>
          <w:lang w:val="en-US"/>
        </w:rPr>
      </w:pPr>
      <w:r w:rsidRPr="00D13AE2">
        <w:rPr>
          <w:rFonts w:ascii="LindeDaxOffice_russian" w:hAnsi="LindeDaxOffice_russian"/>
          <w:lang w:val="en-US"/>
        </w:rPr>
        <w:drawing>
          <wp:inline distT="0" distB="0" distL="0" distR="0">
            <wp:extent cx="5940425" cy="2167293"/>
            <wp:effectExtent l="19050" t="0" r="3175" b="0"/>
            <wp:docPr id="3" name="Рисунок 1" descr="D:\Юрисконсульт\Corporation\Ассоциация_APIMG\План сайта, логотип\Логотип\2016\Approval logo\Утвердить на собрании 30_03_2016\Updated\Подпись_A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рисконсульт\Corporation\Ассоциация_APIMG\План сайта, логотип\Логотип\2016\Approval logo\Утвердить на собрании 30_03_2016\Updated\Подпись_APIMG.PNG"/>
                    <pic:cNvPicPr>
                      <a:picLocks noChangeAspect="1" noChangeArrowheads="1"/>
                    </pic:cNvPicPr>
                  </pic:nvPicPr>
                  <pic:blipFill>
                    <a:blip r:embed="rId5" cstate="print"/>
                    <a:srcRect/>
                    <a:stretch>
                      <a:fillRect/>
                    </a:stretch>
                  </pic:blipFill>
                  <pic:spPr bwMode="auto">
                    <a:xfrm>
                      <a:off x="0" y="0"/>
                      <a:ext cx="5940425" cy="2167293"/>
                    </a:xfrm>
                    <a:prstGeom prst="rect">
                      <a:avLst/>
                    </a:prstGeom>
                    <a:noFill/>
                    <a:ln w="9525">
                      <a:noFill/>
                      <a:miter lim="800000"/>
                      <a:headEnd/>
                      <a:tailEnd/>
                    </a:ln>
                  </pic:spPr>
                </pic:pic>
              </a:graphicData>
            </a:graphic>
          </wp:inline>
        </w:drawing>
      </w:r>
    </w:p>
    <w:sectPr w:rsidR="00A42B14" w:rsidRPr="00B75BCE" w:rsidSect="00EF3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ndeDaxOffice_russian">
    <w:panose1 w:val="020B0500000000020000"/>
    <w:charset w:val="CC"/>
    <w:family w:val="swiss"/>
    <w:pitch w:val="variable"/>
    <w:sig w:usb0="A000022F" w:usb1="5000000A"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B14"/>
    <w:rsid w:val="00087DAC"/>
    <w:rsid w:val="00130307"/>
    <w:rsid w:val="001D1DE7"/>
    <w:rsid w:val="00274C22"/>
    <w:rsid w:val="002F259D"/>
    <w:rsid w:val="00444726"/>
    <w:rsid w:val="00522CB7"/>
    <w:rsid w:val="005B1D5F"/>
    <w:rsid w:val="00653052"/>
    <w:rsid w:val="008E516C"/>
    <w:rsid w:val="00A21B98"/>
    <w:rsid w:val="00A42B14"/>
    <w:rsid w:val="00A80A24"/>
    <w:rsid w:val="00AF70D9"/>
    <w:rsid w:val="00B75BCE"/>
    <w:rsid w:val="00D13AE2"/>
    <w:rsid w:val="00D320C6"/>
    <w:rsid w:val="00D960E7"/>
    <w:rsid w:val="00EF34C9"/>
    <w:rsid w:val="00F3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C9"/>
  </w:style>
  <w:style w:type="paragraph" w:styleId="2">
    <w:name w:val="heading 2"/>
    <w:basedOn w:val="a"/>
    <w:next w:val="a"/>
    <w:link w:val="20"/>
    <w:qFormat/>
    <w:rsid w:val="00653052"/>
    <w:pPr>
      <w:keepNext/>
      <w:spacing w:after="0" w:line="240" w:lineRule="auto"/>
      <w:outlineLvl w:val="1"/>
    </w:pPr>
    <w:rPr>
      <w:rFonts w:ascii="Arial" w:eastAsia="Times New Roman" w:hAnsi="Arial" w:cs="Arial"/>
      <w:b/>
      <w:bCs/>
      <w:i/>
      <w:i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2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87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DAC"/>
    <w:rPr>
      <w:rFonts w:ascii="Tahoma" w:hAnsi="Tahoma" w:cs="Tahoma"/>
      <w:sz w:val="16"/>
      <w:szCs w:val="16"/>
    </w:rPr>
  </w:style>
  <w:style w:type="character" w:customStyle="1" w:styleId="20">
    <w:name w:val="Заголовок 2 Знак"/>
    <w:basedOn w:val="a0"/>
    <w:link w:val="2"/>
    <w:rsid w:val="00653052"/>
    <w:rPr>
      <w:rFonts w:ascii="Arial" w:eastAsia="Times New Roman" w:hAnsi="Arial" w:cs="Arial"/>
      <w:b/>
      <w:bCs/>
      <w:i/>
      <w:i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LG RU</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ru038a</dc:creator>
  <cp:keywords/>
  <dc:description/>
  <cp:lastModifiedBy>Nadezhda Mischenko</cp:lastModifiedBy>
  <cp:revision>13</cp:revision>
  <dcterms:created xsi:type="dcterms:W3CDTF">2014-03-13T09:52:00Z</dcterms:created>
  <dcterms:modified xsi:type="dcterms:W3CDTF">2016-05-25T13:03:00Z</dcterms:modified>
</cp:coreProperties>
</file>