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FC" w:rsidRDefault="00D507FC" w:rsidP="007F64F9">
      <w:pPr>
        <w:spacing w:after="0" w:line="240" w:lineRule="auto"/>
        <w:jc w:val="right"/>
        <w:rPr>
          <w:rFonts w:ascii="Times New Roman" w:eastAsia="Times New Roman" w:hAnsi="Times New Roman" w:cs="Times New Roman"/>
          <w:color w:val="000000"/>
          <w:sz w:val="28"/>
          <w:szCs w:val="28"/>
          <w:lang w:val="ru-RU"/>
        </w:rPr>
      </w:pPr>
      <w:r w:rsidRPr="00D507FC">
        <w:rPr>
          <w:rFonts w:ascii="Times New Roman" w:eastAsia="Times New Roman" w:hAnsi="Times New Roman" w:cs="Times New Roman"/>
          <w:noProof/>
          <w:color w:val="000000"/>
          <w:sz w:val="28"/>
          <w:szCs w:val="28"/>
          <w:lang w:val="ru-RU" w:eastAsia="ru-RU"/>
        </w:rPr>
        <w:drawing>
          <wp:inline distT="0" distB="0" distL="0" distR="0">
            <wp:extent cx="6400800" cy="1185489"/>
            <wp:effectExtent l="19050" t="0" r="0" b="0"/>
            <wp:docPr id="4" name="Рисунок 1" descr="Letter head_A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_APIMG"/>
                    <pic:cNvPicPr>
                      <a:picLocks noChangeAspect="1" noChangeArrowheads="1"/>
                    </pic:cNvPicPr>
                  </pic:nvPicPr>
                  <pic:blipFill>
                    <a:blip r:embed="rId5" cstate="print"/>
                    <a:srcRect/>
                    <a:stretch>
                      <a:fillRect/>
                    </a:stretch>
                  </pic:blipFill>
                  <pic:spPr bwMode="auto">
                    <a:xfrm>
                      <a:off x="0" y="0"/>
                      <a:ext cx="6400800" cy="1185489"/>
                    </a:xfrm>
                    <a:prstGeom prst="rect">
                      <a:avLst/>
                    </a:prstGeom>
                    <a:noFill/>
                    <a:ln w="9525">
                      <a:noFill/>
                      <a:miter lim="800000"/>
                      <a:headEnd/>
                      <a:tailEnd/>
                    </a:ln>
                  </pic:spPr>
                </pic:pic>
              </a:graphicData>
            </a:graphic>
          </wp:inline>
        </w:drawing>
      </w:r>
    </w:p>
    <w:p w:rsidR="00556821" w:rsidRDefault="00556821" w:rsidP="00556821">
      <w:pPr>
        <w:spacing w:after="0" w:line="240" w:lineRule="auto"/>
        <w:jc w:val="center"/>
        <w:rPr>
          <w:rFonts w:ascii="LindeDaxOffice_russian" w:hAnsi="LindeDaxOffice_russian" w:cs="Times New Roman"/>
          <w:b/>
          <w:sz w:val="24"/>
          <w:szCs w:val="24"/>
        </w:rPr>
      </w:pPr>
      <w:r w:rsidRPr="00891ED2">
        <w:rPr>
          <w:rFonts w:ascii="LindeDaxOffice_russian" w:hAnsi="LindeDaxOffice_russian" w:cs="Times New Roman"/>
          <w:b/>
          <w:sz w:val="24"/>
          <w:szCs w:val="24"/>
        </w:rPr>
        <w:t xml:space="preserve">WORKING PROGRAM </w:t>
      </w:r>
    </w:p>
    <w:p w:rsidR="008367DA" w:rsidRDefault="008367DA" w:rsidP="00556821">
      <w:pPr>
        <w:spacing w:after="0" w:line="240" w:lineRule="auto"/>
        <w:jc w:val="center"/>
        <w:rPr>
          <w:rFonts w:ascii="LindeDaxOffice_russian" w:hAnsi="LindeDaxOffice_russian" w:cs="Times New Roman"/>
          <w:b/>
          <w:sz w:val="24"/>
          <w:szCs w:val="24"/>
        </w:rPr>
      </w:pPr>
    </w:p>
    <w:p w:rsidR="00556821" w:rsidRPr="00891ED2" w:rsidRDefault="00556821" w:rsidP="00556821">
      <w:pPr>
        <w:spacing w:after="0" w:line="240" w:lineRule="auto"/>
        <w:jc w:val="center"/>
        <w:rPr>
          <w:rFonts w:ascii="LindeDaxOffice_russian" w:hAnsi="LindeDaxOffice_russian" w:cs="Times New Roman"/>
          <w:b/>
          <w:sz w:val="24"/>
          <w:szCs w:val="24"/>
        </w:rPr>
      </w:pPr>
      <w:r w:rsidRPr="00891ED2">
        <w:rPr>
          <w:rFonts w:ascii="LindeDaxOffice_russian" w:hAnsi="LindeDaxOffice_russian" w:cs="Times New Roman"/>
          <w:b/>
          <w:sz w:val="24"/>
          <w:szCs w:val="24"/>
        </w:rPr>
        <w:t xml:space="preserve">OF SPECIALITY GASES WORKING GROUP </w:t>
      </w:r>
    </w:p>
    <w:p w:rsidR="00A23EB1" w:rsidRDefault="00556821" w:rsidP="00556821">
      <w:pPr>
        <w:spacing w:after="0" w:line="240" w:lineRule="auto"/>
        <w:jc w:val="center"/>
        <w:rPr>
          <w:rFonts w:ascii="LindeDaxOffice_russian" w:hAnsi="LindeDaxOffice_russian" w:cs="Times New Roman"/>
          <w:b/>
          <w:sz w:val="24"/>
          <w:szCs w:val="24"/>
        </w:rPr>
      </w:pPr>
      <w:r w:rsidRPr="00891ED2">
        <w:rPr>
          <w:rFonts w:ascii="LindeDaxOffice_russian" w:hAnsi="LindeDaxOffice_russian" w:cs="Times New Roman"/>
          <w:b/>
          <w:sz w:val="24"/>
          <w:szCs w:val="24"/>
        </w:rPr>
        <w:t>OF ASSOCIATION OF INDUSTRIAL AND MEDICAL GASES PRODUCERS ON 2016</w:t>
      </w:r>
    </w:p>
    <w:p w:rsidR="008367DA" w:rsidRPr="00891ED2" w:rsidRDefault="008367DA" w:rsidP="00556821">
      <w:pPr>
        <w:spacing w:after="0" w:line="240" w:lineRule="auto"/>
        <w:jc w:val="center"/>
        <w:rPr>
          <w:rFonts w:ascii="LindeDaxOffice_russian" w:hAnsi="LindeDaxOffice_russian" w:cs="Times New Roman"/>
          <w:b/>
          <w:sz w:val="24"/>
          <w:szCs w:val="24"/>
        </w:rPr>
      </w:pPr>
    </w:p>
    <w:tbl>
      <w:tblPr>
        <w:tblW w:w="10745" w:type="dxa"/>
        <w:tblInd w:w="108" w:type="dxa"/>
        <w:tblLook w:val="00A0"/>
      </w:tblPr>
      <w:tblGrid>
        <w:gridCol w:w="5242"/>
        <w:gridCol w:w="5503"/>
      </w:tblGrid>
      <w:tr w:rsidR="00461E23" w:rsidRPr="00D04358" w:rsidTr="00556821">
        <w:trPr>
          <w:trHeight w:val="2117"/>
        </w:trPr>
        <w:tc>
          <w:tcPr>
            <w:tcW w:w="5242" w:type="dxa"/>
          </w:tcPr>
          <w:p w:rsidR="00461E23" w:rsidRPr="00D04358" w:rsidRDefault="00461E23" w:rsidP="00A22AB9">
            <w:pPr>
              <w:pStyle w:val="2"/>
              <w:numPr>
                <w:ilvl w:val="0"/>
                <w:numId w:val="3"/>
              </w:numPr>
              <w:spacing w:before="120"/>
              <w:ind w:left="34" w:firstLine="425"/>
              <w:jc w:val="both"/>
              <w:rPr>
                <w:rFonts w:ascii="LindeDaxOffice_russian" w:hAnsi="LindeDaxOffice_russian" w:cs="Times New Roman"/>
                <w:b w:val="0"/>
                <w:bCs w:val="0"/>
                <w:i w:val="0"/>
                <w:iCs w:val="0"/>
                <w:sz w:val="24"/>
                <w:lang w:val="ru-RU"/>
              </w:rPr>
            </w:pPr>
            <w:r w:rsidRPr="00D04358">
              <w:rPr>
                <w:rFonts w:ascii="LindeDaxOffice_russian" w:hAnsi="LindeDaxOffice_russian" w:cs="Times New Roman"/>
                <w:b w:val="0"/>
                <w:bCs w:val="0"/>
                <w:i w:val="0"/>
                <w:iCs w:val="0"/>
                <w:sz w:val="24"/>
                <w:lang w:val="ru-RU"/>
              </w:rPr>
              <w:t xml:space="preserve">Изучение </w:t>
            </w:r>
            <w:r w:rsidR="00730A80">
              <w:rPr>
                <w:rFonts w:ascii="LindeDaxOffice_russian" w:hAnsi="LindeDaxOffice_russian" w:cs="Times New Roman"/>
                <w:b w:val="0"/>
                <w:bCs w:val="0"/>
                <w:i w:val="0"/>
                <w:iCs w:val="0"/>
                <w:sz w:val="24"/>
                <w:lang w:val="ru-RU"/>
              </w:rPr>
              <w:t>отличий Российских и Европейски</w:t>
            </w:r>
            <w:r w:rsidR="00730A80" w:rsidRPr="00730A80">
              <w:rPr>
                <w:rFonts w:ascii="LindeDaxOffice_russian" w:hAnsi="LindeDaxOffice_russian" w:cs="Times New Roman"/>
                <w:b w:val="0"/>
                <w:bCs w:val="0"/>
                <w:i w:val="0"/>
                <w:iCs w:val="0"/>
                <w:sz w:val="24"/>
                <w:lang w:val="ru-RU"/>
              </w:rPr>
              <w:t>х</w:t>
            </w:r>
            <w:r w:rsidRPr="00D04358">
              <w:rPr>
                <w:rFonts w:ascii="LindeDaxOffice_russian" w:hAnsi="LindeDaxOffice_russian" w:cs="Times New Roman"/>
                <w:b w:val="0"/>
                <w:bCs w:val="0"/>
                <w:i w:val="0"/>
                <w:iCs w:val="0"/>
                <w:sz w:val="24"/>
                <w:lang w:val="ru-RU"/>
              </w:rPr>
              <w:t xml:space="preserve"> стандартов в области контроля качества производства Специальных газов и смесей (для Государственных стандартных образцов ГСО – </w:t>
            </w:r>
            <w:r w:rsidRPr="00D04358">
              <w:rPr>
                <w:rFonts w:ascii="LindeDaxOffice_russian" w:hAnsi="LindeDaxOffice_russian" w:cs="Times New Roman"/>
                <w:b w:val="0"/>
                <w:bCs w:val="0"/>
                <w:i w:val="0"/>
                <w:iCs w:val="0"/>
                <w:sz w:val="24"/>
              </w:rPr>
              <w:t>ISO</w:t>
            </w:r>
            <w:r w:rsidRPr="00D04358">
              <w:rPr>
                <w:rFonts w:ascii="LindeDaxOffice_russian" w:hAnsi="LindeDaxOffice_russian" w:cs="Times New Roman"/>
                <w:b w:val="0"/>
                <w:bCs w:val="0"/>
                <w:i w:val="0"/>
                <w:iCs w:val="0"/>
                <w:sz w:val="24"/>
                <w:lang w:val="ru-RU"/>
              </w:rPr>
              <w:t xml:space="preserve"> 34, для аккредитации лабораторий - ISO 17025). </w:t>
            </w:r>
          </w:p>
          <w:p w:rsidR="00461E23" w:rsidRPr="00D04358" w:rsidRDefault="00461E23" w:rsidP="00A22AB9">
            <w:pPr>
              <w:pStyle w:val="2"/>
              <w:numPr>
                <w:ilvl w:val="0"/>
                <w:numId w:val="3"/>
              </w:numPr>
              <w:spacing w:before="120"/>
              <w:ind w:left="34" w:firstLine="425"/>
              <w:jc w:val="both"/>
              <w:rPr>
                <w:rFonts w:ascii="LindeDaxOffice_russian" w:hAnsi="LindeDaxOffice_russian" w:cs="Times New Roman"/>
                <w:b w:val="0"/>
                <w:bCs w:val="0"/>
                <w:i w:val="0"/>
                <w:iCs w:val="0"/>
                <w:sz w:val="24"/>
                <w:lang w:val="ru-RU"/>
              </w:rPr>
            </w:pPr>
            <w:r w:rsidRPr="00D04358">
              <w:rPr>
                <w:rFonts w:ascii="LindeDaxOffice_russian" w:hAnsi="LindeDaxOffice_russian" w:cs="Times New Roman"/>
                <w:b w:val="0"/>
                <w:bCs w:val="0"/>
                <w:i w:val="0"/>
                <w:iCs w:val="0"/>
                <w:sz w:val="24"/>
                <w:lang w:val="ru-RU"/>
              </w:rPr>
              <w:t xml:space="preserve">Изучение отличий методик расчета и обоснования класса опасности газовых смесей по ГОСТ и </w:t>
            </w:r>
            <w:r w:rsidRPr="00D04358">
              <w:rPr>
                <w:rFonts w:ascii="LindeDaxOffice_russian" w:hAnsi="LindeDaxOffice_russian" w:cs="Times New Roman"/>
                <w:b w:val="0"/>
                <w:bCs w:val="0"/>
                <w:i w:val="0"/>
                <w:iCs w:val="0"/>
                <w:sz w:val="24"/>
              </w:rPr>
              <w:t>EIGA</w:t>
            </w:r>
            <w:r w:rsidRPr="00D04358">
              <w:rPr>
                <w:rFonts w:ascii="LindeDaxOffice_russian" w:hAnsi="LindeDaxOffice_russian" w:cs="Times New Roman"/>
                <w:b w:val="0"/>
                <w:bCs w:val="0"/>
                <w:i w:val="0"/>
                <w:iCs w:val="0"/>
                <w:sz w:val="24"/>
                <w:lang w:val="ru-RU"/>
              </w:rPr>
              <w:t xml:space="preserve">. Определение целесообразности и возможных путей адаптации этих методик (задача по возможности </w:t>
            </w:r>
            <w:proofErr w:type="gramStart"/>
            <w:r w:rsidRPr="00D04358">
              <w:rPr>
                <w:rFonts w:ascii="LindeDaxOffice_russian" w:hAnsi="LindeDaxOffice_russian" w:cs="Times New Roman"/>
                <w:b w:val="0"/>
                <w:bCs w:val="0"/>
                <w:i w:val="0"/>
                <w:iCs w:val="0"/>
                <w:sz w:val="24"/>
                <w:lang w:val="ru-RU"/>
              </w:rPr>
              <w:t>избегать необходимость</w:t>
            </w:r>
            <w:proofErr w:type="gramEnd"/>
            <w:r w:rsidRPr="00D04358">
              <w:rPr>
                <w:rFonts w:ascii="LindeDaxOffice_russian" w:hAnsi="LindeDaxOffice_russian" w:cs="Times New Roman"/>
                <w:b w:val="0"/>
                <w:bCs w:val="0"/>
                <w:i w:val="0"/>
                <w:iCs w:val="0"/>
                <w:sz w:val="24"/>
                <w:lang w:val="ru-RU"/>
              </w:rPr>
              <w:t xml:space="preserve"> тестовых испытаний каждого типа смеси, а безопасность присваивать расчетными методами).</w:t>
            </w:r>
          </w:p>
          <w:p w:rsidR="00461E23" w:rsidRPr="00D04358" w:rsidRDefault="00461E23" w:rsidP="00A22AB9">
            <w:pPr>
              <w:pStyle w:val="2"/>
              <w:numPr>
                <w:ilvl w:val="0"/>
                <w:numId w:val="3"/>
              </w:numPr>
              <w:spacing w:before="120"/>
              <w:ind w:left="34" w:firstLine="425"/>
              <w:jc w:val="both"/>
              <w:rPr>
                <w:rFonts w:ascii="LindeDaxOffice_russian" w:hAnsi="LindeDaxOffice_russian" w:cs="Times New Roman"/>
                <w:b w:val="0"/>
                <w:bCs w:val="0"/>
                <w:i w:val="0"/>
                <w:iCs w:val="0"/>
                <w:sz w:val="24"/>
                <w:lang w:val="ru-RU"/>
              </w:rPr>
            </w:pPr>
            <w:r w:rsidRPr="00D04358">
              <w:rPr>
                <w:rFonts w:ascii="LindeDaxOffice_russian" w:hAnsi="LindeDaxOffice_russian" w:cs="Times New Roman"/>
                <w:b w:val="0"/>
                <w:bCs w:val="0"/>
                <w:i w:val="0"/>
                <w:iCs w:val="0"/>
                <w:sz w:val="24"/>
                <w:lang w:val="ru-RU"/>
              </w:rPr>
              <w:t xml:space="preserve">Изучение возможности адаптации маркировки Специальных газов в России к Европейским стандартам </w:t>
            </w:r>
            <w:r w:rsidRPr="00D04358">
              <w:rPr>
                <w:rFonts w:ascii="LindeDaxOffice_russian" w:hAnsi="LindeDaxOffice_russian" w:cs="Times New Roman"/>
                <w:b w:val="0"/>
                <w:bCs w:val="0"/>
                <w:i w:val="0"/>
                <w:iCs w:val="0"/>
                <w:sz w:val="24"/>
              </w:rPr>
              <w:t>EIGA</w:t>
            </w:r>
            <w:r w:rsidRPr="00D04358">
              <w:rPr>
                <w:rFonts w:ascii="LindeDaxOffice_russian" w:hAnsi="LindeDaxOffice_russian" w:cs="Times New Roman"/>
                <w:b w:val="0"/>
                <w:bCs w:val="0"/>
                <w:i w:val="0"/>
                <w:iCs w:val="0"/>
                <w:sz w:val="24"/>
                <w:lang w:val="ru-RU"/>
              </w:rPr>
              <w:t xml:space="preserve">. </w:t>
            </w:r>
          </w:p>
          <w:p w:rsidR="00461E23" w:rsidRPr="00D04358" w:rsidRDefault="00461E23" w:rsidP="00A22AB9">
            <w:pPr>
              <w:pStyle w:val="2"/>
              <w:numPr>
                <w:ilvl w:val="0"/>
                <w:numId w:val="3"/>
              </w:numPr>
              <w:spacing w:before="120"/>
              <w:ind w:left="34" w:firstLine="425"/>
              <w:jc w:val="both"/>
              <w:rPr>
                <w:rFonts w:ascii="LindeDaxOffice_russian" w:hAnsi="LindeDaxOffice_russian" w:cs="Times New Roman"/>
                <w:b w:val="0"/>
                <w:bCs w:val="0"/>
                <w:i w:val="0"/>
                <w:iCs w:val="0"/>
                <w:sz w:val="24"/>
                <w:lang w:val="ru-RU"/>
              </w:rPr>
            </w:pPr>
            <w:r w:rsidRPr="00D04358">
              <w:rPr>
                <w:rFonts w:ascii="LindeDaxOffice_russian" w:hAnsi="LindeDaxOffice_russian" w:cs="Times New Roman"/>
                <w:b w:val="0"/>
                <w:bCs w:val="0"/>
                <w:i w:val="0"/>
                <w:iCs w:val="0"/>
                <w:sz w:val="24"/>
                <w:lang w:val="ru-RU"/>
              </w:rPr>
              <w:t>Изучить проект технического регламента Таможенного союза "О безопасности химической продукции" и оценить его влияние на производство и поставку Специальных газов.</w:t>
            </w:r>
          </w:p>
          <w:p w:rsidR="00461E23" w:rsidRPr="00D04358" w:rsidRDefault="00461E23" w:rsidP="00F90E75">
            <w:pPr>
              <w:pStyle w:val="2"/>
              <w:jc w:val="both"/>
              <w:rPr>
                <w:rFonts w:ascii="LindeDaxOffice_russian" w:hAnsi="LindeDaxOffice_russian" w:cs="Times New Roman"/>
                <w:b w:val="0"/>
                <w:bCs w:val="0"/>
                <w:i w:val="0"/>
                <w:iCs w:val="0"/>
                <w:sz w:val="24"/>
                <w:lang w:val="ru-RU"/>
              </w:rPr>
            </w:pPr>
          </w:p>
          <w:p w:rsidR="00461E23" w:rsidRPr="005F0ACD" w:rsidRDefault="005F0ACD" w:rsidP="00C36525">
            <w:pPr>
              <w:pStyle w:val="2"/>
              <w:jc w:val="both"/>
              <w:rPr>
                <w:rFonts w:ascii="LindeDaxOffice_russian" w:hAnsi="LindeDaxOffice_russian"/>
                <w:szCs w:val="22"/>
                <w:lang w:val="ru-RU"/>
              </w:rPr>
            </w:pPr>
            <w:r w:rsidRPr="005F0ACD">
              <w:rPr>
                <w:rFonts w:ascii="LindeDaxOffice_russian" w:hAnsi="LindeDaxOffice_russian"/>
                <w:szCs w:val="22"/>
                <w:lang w:val="ru-RU"/>
              </w:rPr>
              <w:t>Подпись:</w:t>
            </w:r>
          </w:p>
          <w:p w:rsidR="005F0ACD" w:rsidRDefault="005F0ACD" w:rsidP="00C36525">
            <w:pPr>
              <w:spacing w:after="0" w:line="240" w:lineRule="auto"/>
              <w:rPr>
                <w:rFonts w:ascii="LindeDaxOffice_russian" w:hAnsi="LindeDaxOffice_russian"/>
                <w:lang w:eastAsia="ru-RU"/>
              </w:rPr>
            </w:pPr>
            <w:r w:rsidRPr="005F0ACD">
              <w:rPr>
                <w:rFonts w:ascii="LindeDaxOffice_russian" w:hAnsi="LindeDaxOffice_russian"/>
                <w:lang w:val="ru-RU" w:eastAsia="ru-RU"/>
              </w:rPr>
              <w:t>Члены Рабочей группы</w:t>
            </w:r>
          </w:p>
          <w:p w:rsidR="008367DA" w:rsidRPr="008367DA" w:rsidRDefault="008367DA" w:rsidP="00C36525">
            <w:pPr>
              <w:spacing w:after="0" w:line="240" w:lineRule="auto"/>
              <w:rPr>
                <w:rFonts w:ascii="LindeDaxOffice_russian" w:hAnsi="LindeDaxOffice_russian"/>
                <w:lang w:eastAsia="ru-RU"/>
              </w:rPr>
            </w:pPr>
          </w:p>
          <w:p w:rsidR="005F0ACD" w:rsidRPr="00C36525" w:rsidRDefault="005F0ACD" w:rsidP="00C36525">
            <w:pPr>
              <w:spacing w:after="0" w:line="240" w:lineRule="auto"/>
              <w:rPr>
                <w:rFonts w:ascii="LindeDaxOffice_russian" w:hAnsi="LindeDaxOffice_russian"/>
                <w:b/>
                <w:lang w:val="ru-RU" w:eastAsia="ru-RU"/>
              </w:rPr>
            </w:pPr>
            <w:r w:rsidRPr="00C36525">
              <w:rPr>
                <w:rFonts w:ascii="LindeDaxOffice_russian" w:hAnsi="LindeDaxOffice_russian"/>
                <w:b/>
                <w:lang w:val="ru-RU" w:eastAsia="ru-RU"/>
              </w:rPr>
              <w:t>Дата:</w:t>
            </w:r>
          </w:p>
          <w:p w:rsidR="005F0ACD" w:rsidRPr="005F0ACD" w:rsidRDefault="005F0ACD" w:rsidP="00C36525">
            <w:pPr>
              <w:spacing w:after="0" w:line="240" w:lineRule="auto"/>
              <w:rPr>
                <w:lang w:val="ru-RU" w:eastAsia="ru-RU"/>
              </w:rPr>
            </w:pPr>
            <w:r w:rsidRPr="005F0ACD">
              <w:rPr>
                <w:rFonts w:ascii="LindeDaxOffice_russian" w:hAnsi="LindeDaxOffice_russian"/>
                <w:lang w:val="ru-RU" w:eastAsia="ru-RU"/>
              </w:rPr>
              <w:t>28 апреля 2016 г.</w:t>
            </w:r>
          </w:p>
        </w:tc>
        <w:tc>
          <w:tcPr>
            <w:tcW w:w="5503" w:type="dxa"/>
          </w:tcPr>
          <w:p w:rsidR="00461E23" w:rsidRPr="00D04358" w:rsidRDefault="00461E23" w:rsidP="00A22AB9">
            <w:pPr>
              <w:pStyle w:val="2"/>
              <w:numPr>
                <w:ilvl w:val="0"/>
                <w:numId w:val="4"/>
              </w:numPr>
              <w:spacing w:before="120"/>
              <w:ind w:left="37" w:firstLine="383"/>
              <w:jc w:val="both"/>
              <w:rPr>
                <w:rFonts w:ascii="LindeDaxOffice_russian" w:hAnsi="LindeDaxOffice_russian" w:cs="Times New Roman"/>
                <w:b w:val="0"/>
                <w:bCs w:val="0"/>
                <w:i w:val="0"/>
                <w:iCs w:val="0"/>
                <w:sz w:val="24"/>
              </w:rPr>
            </w:pPr>
            <w:r w:rsidRPr="00D04358">
              <w:rPr>
                <w:rFonts w:ascii="LindeDaxOffice_russian" w:hAnsi="LindeDaxOffice_russian" w:cs="Times New Roman"/>
                <w:b w:val="0"/>
                <w:bCs w:val="0"/>
                <w:i w:val="0"/>
                <w:iCs w:val="0"/>
                <w:sz w:val="24"/>
              </w:rPr>
              <w:t xml:space="preserve">Study the difference between Russian and European standards for SG production quality control (for the State certified reference standards GSO – ISO 34, for laboratories - ISO 17025). </w:t>
            </w:r>
          </w:p>
          <w:p w:rsidR="00461E23" w:rsidRPr="00D04358" w:rsidRDefault="00461E23" w:rsidP="00A22AB9">
            <w:pPr>
              <w:pStyle w:val="2"/>
              <w:ind w:left="37" w:firstLine="383"/>
              <w:jc w:val="both"/>
              <w:rPr>
                <w:rFonts w:ascii="LindeDaxOffice_russian" w:hAnsi="LindeDaxOffice_russian" w:cs="Times New Roman"/>
                <w:b w:val="0"/>
                <w:bCs w:val="0"/>
                <w:i w:val="0"/>
                <w:iCs w:val="0"/>
                <w:sz w:val="24"/>
              </w:rPr>
            </w:pPr>
          </w:p>
          <w:p w:rsidR="00461E23" w:rsidRPr="00D04358" w:rsidRDefault="00461E23" w:rsidP="00A22AB9">
            <w:pPr>
              <w:pStyle w:val="2"/>
              <w:ind w:left="37" w:firstLine="383"/>
              <w:jc w:val="both"/>
              <w:rPr>
                <w:rFonts w:ascii="LindeDaxOffice_russian" w:hAnsi="LindeDaxOffice_russian" w:cs="Times New Roman"/>
                <w:b w:val="0"/>
                <w:bCs w:val="0"/>
                <w:i w:val="0"/>
                <w:iCs w:val="0"/>
                <w:sz w:val="24"/>
              </w:rPr>
            </w:pPr>
          </w:p>
          <w:p w:rsidR="00461E23" w:rsidRDefault="00461E23" w:rsidP="00A22AB9">
            <w:pPr>
              <w:pStyle w:val="2"/>
              <w:numPr>
                <w:ilvl w:val="0"/>
                <w:numId w:val="4"/>
              </w:numPr>
              <w:spacing w:before="120"/>
              <w:ind w:left="37" w:firstLine="383"/>
              <w:jc w:val="both"/>
              <w:rPr>
                <w:rFonts w:ascii="LindeDaxOffice_russian" w:hAnsi="LindeDaxOffice_russian" w:cs="Times New Roman"/>
                <w:b w:val="0"/>
                <w:bCs w:val="0"/>
                <w:i w:val="0"/>
                <w:iCs w:val="0"/>
                <w:sz w:val="24"/>
              </w:rPr>
            </w:pPr>
            <w:r w:rsidRPr="00D04358">
              <w:rPr>
                <w:rFonts w:ascii="LindeDaxOffice_russian" w:hAnsi="LindeDaxOffice_russian" w:cs="Times New Roman"/>
                <w:b w:val="0"/>
                <w:bCs w:val="0"/>
                <w:i w:val="0"/>
                <w:iCs w:val="0"/>
                <w:sz w:val="24"/>
              </w:rPr>
              <w:t xml:space="preserve">Study the difference in methods of calculation and classification of hazardous gaseous mixtures by GOST and EIGA. Understanding the appropriateness and possibilities for these methods adaptation, (the main task is to avoid, if possible, the requirement of experimental safety proving for each type of mixture, but use calculation methods).  </w:t>
            </w:r>
          </w:p>
          <w:p w:rsidR="00A22AB9" w:rsidRPr="00A22AB9" w:rsidRDefault="00A22AB9" w:rsidP="00A22AB9">
            <w:pPr>
              <w:rPr>
                <w:lang w:eastAsia="ru-RU"/>
              </w:rPr>
            </w:pPr>
          </w:p>
          <w:p w:rsidR="00461E23" w:rsidRPr="00D04358" w:rsidRDefault="00461E23" w:rsidP="00A22AB9">
            <w:pPr>
              <w:pStyle w:val="2"/>
              <w:numPr>
                <w:ilvl w:val="0"/>
                <w:numId w:val="4"/>
              </w:numPr>
              <w:spacing w:before="120"/>
              <w:ind w:left="37" w:firstLine="383"/>
              <w:jc w:val="both"/>
              <w:rPr>
                <w:rFonts w:ascii="LindeDaxOffice_russian" w:hAnsi="LindeDaxOffice_russian" w:cs="Times New Roman"/>
                <w:b w:val="0"/>
                <w:bCs w:val="0"/>
                <w:i w:val="0"/>
                <w:iCs w:val="0"/>
                <w:sz w:val="24"/>
              </w:rPr>
            </w:pPr>
            <w:r w:rsidRPr="00D04358">
              <w:rPr>
                <w:rFonts w:ascii="LindeDaxOffice_russian" w:hAnsi="LindeDaxOffice_russian" w:cs="Times New Roman"/>
                <w:b w:val="0"/>
                <w:bCs w:val="0"/>
                <w:i w:val="0"/>
                <w:iCs w:val="0"/>
                <w:sz w:val="24"/>
              </w:rPr>
              <w:t xml:space="preserve">Study the possibility of Russia SG </w:t>
            </w:r>
            <w:r w:rsidR="004E6E99" w:rsidRPr="00D04358">
              <w:rPr>
                <w:rFonts w:ascii="LindeDaxOffice_russian" w:hAnsi="LindeDaxOffice_russian" w:cs="Times New Roman"/>
                <w:b w:val="0"/>
                <w:bCs w:val="0"/>
                <w:i w:val="0"/>
                <w:iCs w:val="0"/>
                <w:sz w:val="24"/>
              </w:rPr>
              <w:t>labeling</w:t>
            </w:r>
            <w:r w:rsidRPr="00D04358">
              <w:rPr>
                <w:rFonts w:ascii="LindeDaxOffice_russian" w:hAnsi="LindeDaxOffice_russian" w:cs="Times New Roman"/>
                <w:b w:val="0"/>
                <w:bCs w:val="0"/>
                <w:i w:val="0"/>
                <w:iCs w:val="0"/>
                <w:sz w:val="24"/>
              </w:rPr>
              <w:t xml:space="preserve"> standards to European EIGA.</w:t>
            </w:r>
          </w:p>
          <w:p w:rsidR="00461E23" w:rsidRPr="00D04358" w:rsidRDefault="00461E23" w:rsidP="00A22AB9">
            <w:pPr>
              <w:spacing w:after="0" w:line="240" w:lineRule="auto"/>
              <w:ind w:left="37" w:firstLine="383"/>
              <w:rPr>
                <w:rFonts w:ascii="LindeDaxOffice_russian" w:hAnsi="LindeDaxOffice_russian"/>
                <w:lang w:eastAsia="ru-RU"/>
              </w:rPr>
            </w:pPr>
          </w:p>
          <w:p w:rsidR="00461E23" w:rsidRPr="00D04358" w:rsidRDefault="00461E23" w:rsidP="00A22AB9">
            <w:pPr>
              <w:pStyle w:val="2"/>
              <w:numPr>
                <w:ilvl w:val="0"/>
                <w:numId w:val="4"/>
              </w:numPr>
              <w:spacing w:before="120"/>
              <w:ind w:left="37" w:firstLine="383"/>
              <w:jc w:val="both"/>
              <w:rPr>
                <w:rFonts w:ascii="LindeDaxOffice_russian" w:hAnsi="LindeDaxOffice_russian" w:cs="Times New Roman"/>
                <w:b w:val="0"/>
                <w:bCs w:val="0"/>
                <w:i w:val="0"/>
                <w:iCs w:val="0"/>
                <w:sz w:val="24"/>
              </w:rPr>
            </w:pPr>
            <w:r w:rsidRPr="00D04358">
              <w:rPr>
                <w:rFonts w:ascii="LindeDaxOffice_russian" w:hAnsi="LindeDaxOffice_russian" w:cs="Times New Roman"/>
                <w:b w:val="0"/>
                <w:bCs w:val="0"/>
                <w:i w:val="0"/>
                <w:iCs w:val="0"/>
                <w:sz w:val="24"/>
              </w:rPr>
              <w:t>Study the project of Custom Union technical regulation “About safety of chemical products” and estimate its influence on SG production and distribution.</w:t>
            </w:r>
          </w:p>
          <w:p w:rsidR="00461E23" w:rsidRPr="00D04358" w:rsidRDefault="00461E23" w:rsidP="00A22AB9">
            <w:pPr>
              <w:tabs>
                <w:tab w:val="left" w:pos="142"/>
              </w:tabs>
              <w:spacing w:after="0" w:line="240" w:lineRule="auto"/>
              <w:ind w:left="37" w:firstLine="383"/>
              <w:jc w:val="both"/>
              <w:rPr>
                <w:rFonts w:ascii="LindeDaxOffice_russian" w:hAnsi="LindeDaxOffice_russian"/>
                <w:b/>
                <w:color w:val="000000"/>
                <w:sz w:val="24"/>
                <w:szCs w:val="24"/>
                <w:lang w:eastAsia="de-DE"/>
              </w:rPr>
            </w:pPr>
          </w:p>
          <w:p w:rsidR="002F7E9B" w:rsidRDefault="002F7E9B" w:rsidP="001221BC">
            <w:pPr>
              <w:pStyle w:val="2"/>
              <w:jc w:val="both"/>
              <w:rPr>
                <w:rFonts w:ascii="LindeDaxOffice_russian" w:hAnsi="LindeDaxOffice_russian"/>
                <w:color w:val="000000"/>
                <w:szCs w:val="22"/>
                <w:lang w:eastAsia="de-DE"/>
              </w:rPr>
            </w:pPr>
          </w:p>
          <w:p w:rsidR="00461E23" w:rsidRPr="00894EB3" w:rsidRDefault="002A3EB8" w:rsidP="001221BC">
            <w:pPr>
              <w:pStyle w:val="2"/>
              <w:jc w:val="both"/>
              <w:rPr>
                <w:rFonts w:ascii="LindeDaxOffice_russian" w:hAnsi="LindeDaxOffice_russian"/>
                <w:color w:val="000000"/>
                <w:szCs w:val="22"/>
                <w:lang w:eastAsia="de-DE"/>
              </w:rPr>
            </w:pPr>
            <w:r w:rsidRPr="00894EB3">
              <w:rPr>
                <w:rFonts w:ascii="LindeDaxOffice_russian" w:hAnsi="LindeDaxOffice_russian"/>
                <w:color w:val="000000"/>
                <w:szCs w:val="22"/>
                <w:lang w:eastAsia="de-DE"/>
              </w:rPr>
              <w:t>Signature:</w:t>
            </w:r>
          </w:p>
          <w:p w:rsidR="002A3EB8" w:rsidRDefault="002A3EB8" w:rsidP="001221BC">
            <w:pPr>
              <w:spacing w:after="0"/>
              <w:rPr>
                <w:rFonts w:ascii="LindeDaxOffice_russian" w:hAnsi="LindeDaxOffice_russian"/>
                <w:lang w:eastAsia="de-DE"/>
              </w:rPr>
            </w:pPr>
            <w:r w:rsidRPr="001221BC">
              <w:rPr>
                <w:rFonts w:ascii="LindeDaxOffice_russian" w:hAnsi="LindeDaxOffice_russian"/>
                <w:lang w:eastAsia="de-DE"/>
              </w:rPr>
              <w:t>Members of the Working group</w:t>
            </w:r>
          </w:p>
          <w:p w:rsidR="008367DA" w:rsidRPr="001221BC" w:rsidRDefault="008367DA" w:rsidP="001221BC">
            <w:pPr>
              <w:spacing w:after="0"/>
              <w:rPr>
                <w:rFonts w:ascii="LindeDaxOffice_russian" w:hAnsi="LindeDaxOffice_russian"/>
                <w:lang w:eastAsia="de-DE"/>
              </w:rPr>
            </w:pPr>
          </w:p>
          <w:p w:rsidR="002A3EB8" w:rsidRPr="00894EB3" w:rsidRDefault="002A3EB8" w:rsidP="001221BC">
            <w:pPr>
              <w:spacing w:after="0"/>
              <w:rPr>
                <w:rFonts w:ascii="LindeDaxOffice_russian" w:hAnsi="LindeDaxOffice_russian"/>
                <w:b/>
                <w:lang w:val="ru-RU" w:eastAsia="de-DE"/>
              </w:rPr>
            </w:pPr>
            <w:r w:rsidRPr="00894EB3">
              <w:rPr>
                <w:rFonts w:ascii="LindeDaxOffice_russian" w:hAnsi="LindeDaxOffice_russian"/>
                <w:b/>
                <w:lang w:eastAsia="de-DE"/>
              </w:rPr>
              <w:t>Date</w:t>
            </w:r>
            <w:r w:rsidRPr="00894EB3">
              <w:rPr>
                <w:rFonts w:ascii="LindeDaxOffice_russian" w:hAnsi="LindeDaxOffice_russian"/>
                <w:b/>
                <w:lang w:val="ru-RU" w:eastAsia="de-DE"/>
              </w:rPr>
              <w:t>:</w:t>
            </w:r>
          </w:p>
          <w:p w:rsidR="002A3EB8" w:rsidRPr="002A3EB8" w:rsidRDefault="002A3EB8" w:rsidP="001221BC">
            <w:pPr>
              <w:spacing w:after="0"/>
              <w:rPr>
                <w:lang w:eastAsia="de-DE"/>
              </w:rPr>
            </w:pPr>
            <w:r w:rsidRPr="00894EB3">
              <w:rPr>
                <w:rFonts w:ascii="LindeDaxOffice_russian" w:hAnsi="LindeDaxOffice_russian"/>
                <w:b/>
                <w:lang w:eastAsia="de-DE"/>
              </w:rPr>
              <w:t>April 28, 2016.</w:t>
            </w:r>
          </w:p>
        </w:tc>
      </w:tr>
    </w:tbl>
    <w:p w:rsidR="008076A9" w:rsidRDefault="00A23EB1" w:rsidP="008076A9">
      <w:pPr>
        <w:spacing w:after="0" w:line="240" w:lineRule="auto"/>
        <w:ind w:left="709"/>
        <w:jc w:val="both"/>
        <w:rPr>
          <w:rFonts w:ascii="Times New Roman" w:eastAsia="Times New Roman" w:hAnsi="Times New Roman" w:cs="Times New Roman"/>
          <w:color w:val="000000"/>
          <w:sz w:val="28"/>
          <w:szCs w:val="28"/>
          <w:lang w:val="ru-RU"/>
        </w:rPr>
      </w:pPr>
      <w:r w:rsidRPr="00A23EB1">
        <w:rPr>
          <w:rFonts w:ascii="Times New Roman" w:eastAsia="Times New Roman" w:hAnsi="Times New Roman" w:cs="Times New Roman"/>
          <w:noProof/>
          <w:color w:val="000000"/>
          <w:sz w:val="28"/>
          <w:szCs w:val="28"/>
          <w:lang w:val="ru-RU" w:eastAsia="ru-RU"/>
        </w:rPr>
        <w:drawing>
          <wp:inline distT="0" distB="0" distL="0" distR="0">
            <wp:extent cx="6120765" cy="1865103"/>
            <wp:effectExtent l="19050" t="0" r="0" b="0"/>
            <wp:docPr id="5" name="Рисунок 4" descr="Подпись_AP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_APIMG"/>
                    <pic:cNvPicPr>
                      <a:picLocks noChangeAspect="1" noChangeArrowheads="1"/>
                    </pic:cNvPicPr>
                  </pic:nvPicPr>
                  <pic:blipFill>
                    <a:blip r:embed="rId6" cstate="print"/>
                    <a:srcRect/>
                    <a:stretch>
                      <a:fillRect/>
                    </a:stretch>
                  </pic:blipFill>
                  <pic:spPr bwMode="auto">
                    <a:xfrm>
                      <a:off x="0" y="0"/>
                      <a:ext cx="6120765" cy="1865103"/>
                    </a:xfrm>
                    <a:prstGeom prst="rect">
                      <a:avLst/>
                    </a:prstGeom>
                    <a:noFill/>
                    <a:ln w="9525">
                      <a:noFill/>
                      <a:miter lim="800000"/>
                      <a:headEnd/>
                      <a:tailEnd/>
                    </a:ln>
                  </pic:spPr>
                </pic:pic>
              </a:graphicData>
            </a:graphic>
          </wp:inline>
        </w:drawing>
      </w:r>
    </w:p>
    <w:sectPr w:rsidR="008076A9" w:rsidSect="008367DA">
      <w:pgSz w:w="12240" w:h="15840"/>
      <w:pgMar w:top="284" w:right="1077" w:bottom="28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ndeDaxOffice_russian">
    <w:panose1 w:val="020B0500000000020000"/>
    <w:charset w:val="CC"/>
    <w:family w:val="swiss"/>
    <w:pitch w:val="variable"/>
    <w:sig w:usb0="A000022F" w:usb1="5000000A"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79D8"/>
    <w:multiLevelType w:val="hybridMultilevel"/>
    <w:tmpl w:val="4AE24C6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96A0987"/>
    <w:multiLevelType w:val="hybridMultilevel"/>
    <w:tmpl w:val="872C304A"/>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FA55FFF"/>
    <w:multiLevelType w:val="hybridMultilevel"/>
    <w:tmpl w:val="E4425730"/>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3A610B6"/>
    <w:multiLevelType w:val="hybridMultilevel"/>
    <w:tmpl w:val="7590791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41BF"/>
    <w:rsid w:val="001221BC"/>
    <w:rsid w:val="002141BF"/>
    <w:rsid w:val="002A344D"/>
    <w:rsid w:val="002A3EB8"/>
    <w:rsid w:val="002F7E9B"/>
    <w:rsid w:val="003205EA"/>
    <w:rsid w:val="00393F5E"/>
    <w:rsid w:val="00396E91"/>
    <w:rsid w:val="00461E23"/>
    <w:rsid w:val="004E6E99"/>
    <w:rsid w:val="00556821"/>
    <w:rsid w:val="00594843"/>
    <w:rsid w:val="005F0ACD"/>
    <w:rsid w:val="0063167E"/>
    <w:rsid w:val="006701F3"/>
    <w:rsid w:val="006D6E86"/>
    <w:rsid w:val="00730A80"/>
    <w:rsid w:val="007E5662"/>
    <w:rsid w:val="007F64F9"/>
    <w:rsid w:val="008076A9"/>
    <w:rsid w:val="00815FCD"/>
    <w:rsid w:val="008367DA"/>
    <w:rsid w:val="00891ED2"/>
    <w:rsid w:val="00894EB3"/>
    <w:rsid w:val="00984AAD"/>
    <w:rsid w:val="00A10DE8"/>
    <w:rsid w:val="00A22AB9"/>
    <w:rsid w:val="00A23EB1"/>
    <w:rsid w:val="00B7724C"/>
    <w:rsid w:val="00C36525"/>
    <w:rsid w:val="00C7373B"/>
    <w:rsid w:val="00CE1A94"/>
    <w:rsid w:val="00CE66DA"/>
    <w:rsid w:val="00D04358"/>
    <w:rsid w:val="00D507FC"/>
    <w:rsid w:val="00E67DA7"/>
    <w:rsid w:val="00EF3FF4"/>
    <w:rsid w:val="00F00F7A"/>
    <w:rsid w:val="00F6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FF4"/>
  </w:style>
  <w:style w:type="paragraph" w:styleId="2">
    <w:name w:val="heading 2"/>
    <w:basedOn w:val="a"/>
    <w:next w:val="a"/>
    <w:link w:val="20"/>
    <w:qFormat/>
    <w:rsid w:val="00461E23"/>
    <w:pPr>
      <w:keepNext/>
      <w:spacing w:after="0" w:line="240" w:lineRule="auto"/>
      <w:outlineLvl w:val="1"/>
    </w:pPr>
    <w:rPr>
      <w:rFonts w:ascii="Arial" w:eastAsia="Times New Roman" w:hAnsi="Arial" w:cs="Arial"/>
      <w:b/>
      <w:bCs/>
      <w:i/>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2141BF"/>
  </w:style>
  <w:style w:type="character" w:styleId="a4">
    <w:name w:val="Hyperlink"/>
    <w:basedOn w:val="a0"/>
    <w:uiPriority w:val="99"/>
    <w:semiHidden/>
    <w:unhideWhenUsed/>
    <w:rsid w:val="002141BF"/>
    <w:rPr>
      <w:color w:val="0000FF"/>
      <w:u w:val="single"/>
    </w:rPr>
  </w:style>
  <w:style w:type="table" w:styleId="a5">
    <w:name w:val="Table Grid"/>
    <w:basedOn w:val="a1"/>
    <w:uiPriority w:val="59"/>
    <w:rsid w:val="0080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0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7FC"/>
    <w:rPr>
      <w:rFonts w:ascii="Tahoma" w:hAnsi="Tahoma" w:cs="Tahoma"/>
      <w:sz w:val="16"/>
      <w:szCs w:val="16"/>
    </w:rPr>
  </w:style>
  <w:style w:type="paragraph" w:styleId="a8">
    <w:name w:val="List Paragraph"/>
    <w:basedOn w:val="a"/>
    <w:uiPriority w:val="34"/>
    <w:qFormat/>
    <w:rsid w:val="00D507FC"/>
    <w:pPr>
      <w:ind w:left="720"/>
      <w:contextualSpacing/>
    </w:pPr>
    <w:rPr>
      <w:lang w:val="ru-RU"/>
    </w:rPr>
  </w:style>
  <w:style w:type="character" w:customStyle="1" w:styleId="20">
    <w:name w:val="Заголовок 2 Знак"/>
    <w:basedOn w:val="a0"/>
    <w:link w:val="2"/>
    <w:rsid w:val="00461E23"/>
    <w:rPr>
      <w:rFonts w:ascii="Arial" w:eastAsia="Times New Roman" w:hAnsi="Arial" w:cs="Arial"/>
      <w:b/>
      <w:bCs/>
      <w:i/>
      <w:iCs/>
      <w:szCs w:val="24"/>
      <w:lang w:eastAsia="ru-RU"/>
    </w:rPr>
  </w:style>
</w:styles>
</file>

<file path=word/webSettings.xml><?xml version="1.0" encoding="utf-8"?>
<w:webSettings xmlns:r="http://schemas.openxmlformats.org/officeDocument/2006/relationships" xmlns:w="http://schemas.openxmlformats.org/wordprocessingml/2006/main">
  <w:divs>
    <w:div w:id="1073048457">
      <w:bodyDiv w:val="1"/>
      <w:marLeft w:val="0"/>
      <w:marRight w:val="0"/>
      <w:marTop w:val="0"/>
      <w:marBottom w:val="0"/>
      <w:divBdr>
        <w:top w:val="none" w:sz="0" w:space="0" w:color="auto"/>
        <w:left w:val="none" w:sz="0" w:space="0" w:color="auto"/>
        <w:bottom w:val="none" w:sz="0" w:space="0" w:color="auto"/>
        <w:right w:val="none" w:sz="0" w:space="0" w:color="auto"/>
      </w:divBdr>
    </w:div>
    <w:div w:id="19478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Air Liquide</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irina.volkova</dc:creator>
  <cp:lastModifiedBy>Nadezhda Mischenko</cp:lastModifiedBy>
  <cp:revision>18</cp:revision>
  <dcterms:created xsi:type="dcterms:W3CDTF">2016-05-20T10:27:00Z</dcterms:created>
  <dcterms:modified xsi:type="dcterms:W3CDTF">2016-05-25T13:10:00Z</dcterms:modified>
</cp:coreProperties>
</file>